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36"/>
          <w:szCs w:val="36"/>
        </w:rPr>
      </w:pPr>
      <w:r>
        <w:rPr>
          <w:rFonts w:hint="eastAsia" w:ascii="黑体" w:hAnsi="黑体" w:eastAsia="黑体"/>
          <w:b/>
          <w:sz w:val="36"/>
          <w:szCs w:val="36"/>
        </w:rPr>
        <w:t>关于开展20</w:t>
      </w:r>
      <w:r>
        <w:rPr>
          <w:rFonts w:hint="eastAsia" w:ascii="黑体" w:hAnsi="黑体" w:eastAsia="黑体"/>
          <w:b/>
          <w:sz w:val="36"/>
          <w:szCs w:val="36"/>
          <w:lang w:val="en-US" w:eastAsia="zh-CN"/>
        </w:rPr>
        <w:t>21</w:t>
      </w:r>
      <w:r>
        <w:rPr>
          <w:rFonts w:hint="eastAsia" w:ascii="黑体" w:hAnsi="黑体" w:eastAsia="黑体"/>
          <w:b/>
          <w:sz w:val="36"/>
          <w:szCs w:val="36"/>
        </w:rPr>
        <w:t>-202</w:t>
      </w:r>
      <w:r>
        <w:rPr>
          <w:rFonts w:hint="eastAsia" w:ascii="黑体" w:hAnsi="黑体" w:eastAsia="黑体"/>
          <w:b/>
          <w:sz w:val="36"/>
          <w:szCs w:val="36"/>
          <w:lang w:val="en-US" w:eastAsia="zh-CN"/>
        </w:rPr>
        <w:t>2</w:t>
      </w:r>
      <w:r>
        <w:rPr>
          <w:rFonts w:hint="eastAsia" w:ascii="黑体" w:hAnsi="黑体" w:eastAsia="黑体"/>
          <w:b/>
          <w:sz w:val="36"/>
          <w:szCs w:val="36"/>
        </w:rPr>
        <w:t>学年青年教师(辅导员)</w:t>
      </w:r>
    </w:p>
    <w:p>
      <w:pPr>
        <w:jc w:val="center"/>
        <w:rPr>
          <w:rFonts w:ascii="黑体" w:hAnsi="黑体" w:eastAsia="黑体"/>
          <w:b/>
          <w:sz w:val="36"/>
          <w:szCs w:val="36"/>
        </w:rPr>
      </w:pPr>
      <w:r>
        <w:rPr>
          <w:rFonts w:hint="eastAsia" w:ascii="黑体" w:hAnsi="黑体" w:eastAsia="黑体"/>
          <w:b/>
          <w:sz w:val="36"/>
          <w:szCs w:val="36"/>
        </w:rPr>
        <w:t>助讲培养工作的通知</w:t>
      </w:r>
    </w:p>
    <w:p/>
    <w:p>
      <w:pPr>
        <w:rPr>
          <w:rFonts w:asciiTheme="minorEastAsia" w:hAnsiTheme="minorEastAsia"/>
          <w:sz w:val="24"/>
          <w:szCs w:val="24"/>
        </w:rPr>
      </w:pPr>
      <w:r>
        <w:rPr>
          <w:rFonts w:hint="eastAsia" w:asciiTheme="minorEastAsia" w:hAnsiTheme="minorEastAsia"/>
          <w:sz w:val="24"/>
          <w:szCs w:val="24"/>
        </w:rPr>
        <w:t>学校各教学单位及有关部门：</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为有效帮助青年教师尽快胜任教学岗位工作，加快青年教师成长，切实保障和提高教学质量，根据《嘉兴学院青年教师助讲培养暂行办法》</w:t>
      </w:r>
      <w:r>
        <w:rPr>
          <w:rFonts w:hint="eastAsia" w:asciiTheme="minorEastAsia" w:hAnsiTheme="minorEastAsia"/>
          <w:sz w:val="24"/>
          <w:szCs w:val="24"/>
          <w:lang w:val="en-US" w:eastAsia="zh-CN"/>
        </w:rPr>
        <w:t xml:space="preserve"> </w:t>
      </w:r>
      <w:r>
        <w:rPr>
          <w:rFonts w:hint="eastAsia" w:asciiTheme="minorEastAsia" w:hAnsiTheme="minorEastAsia"/>
          <w:sz w:val="24"/>
          <w:szCs w:val="24"/>
        </w:rPr>
        <w:t>（嘉院人字[2013]4号）等文件要求，学校决定启动20</w:t>
      </w:r>
      <w:r>
        <w:rPr>
          <w:rFonts w:hint="eastAsia" w:asciiTheme="minorEastAsia" w:hAnsiTheme="minorEastAsia"/>
          <w:sz w:val="24"/>
          <w:szCs w:val="24"/>
          <w:lang w:val="en-US" w:eastAsia="zh-CN"/>
        </w:rPr>
        <w:t>21</w:t>
      </w:r>
      <w:r>
        <w:rPr>
          <w:rFonts w:hint="eastAsia" w:asciiTheme="minorEastAsia" w:hAnsiTheme="minorEastAsia"/>
          <w:sz w:val="24"/>
          <w:szCs w:val="24"/>
        </w:rPr>
        <w:t>-202</w:t>
      </w:r>
      <w:r>
        <w:rPr>
          <w:rFonts w:hint="eastAsia" w:asciiTheme="minorEastAsia" w:hAnsiTheme="minorEastAsia"/>
          <w:sz w:val="24"/>
          <w:szCs w:val="24"/>
          <w:lang w:val="en-US" w:eastAsia="zh-CN"/>
        </w:rPr>
        <w:t>2</w:t>
      </w:r>
      <w:r>
        <w:rPr>
          <w:rFonts w:hint="eastAsia" w:asciiTheme="minorEastAsia" w:hAnsiTheme="minorEastAsia"/>
          <w:sz w:val="24"/>
          <w:szCs w:val="24"/>
        </w:rPr>
        <w:t>学年青年教师及辅导员助讲培养工作，现将有关事项通知如下：</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一、培养对象</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具有以下情况之一者，应作为青年教师助讲培养制的培养对象：</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1. 20</w:t>
      </w:r>
      <w:r>
        <w:rPr>
          <w:rFonts w:hint="eastAsia" w:asciiTheme="minorEastAsia" w:hAnsiTheme="minorEastAsia"/>
          <w:sz w:val="24"/>
          <w:szCs w:val="24"/>
          <w:lang w:val="en-US" w:eastAsia="zh-CN"/>
        </w:rPr>
        <w:t>21</w:t>
      </w:r>
      <w:r>
        <w:rPr>
          <w:rFonts w:hint="eastAsia" w:asciiTheme="minorEastAsia" w:hAnsiTheme="minorEastAsia"/>
          <w:sz w:val="24"/>
          <w:szCs w:val="24"/>
        </w:rPr>
        <w:t>年新入职高校，从事教学（含理论教学和实验、实践教学）科研工作的专任教师、专职辅导员；</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 高校教学经历不足3年，年龄在35周岁以下（含35周岁）,未接受过或者未完成我校青年教师助讲全程培养的在岗教师；</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 学院（部门）认为有必要进行助讲培养的中青年教师。</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二、培养期限</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培养期限一般为一年。具有博士学位的新教师，根据实际情况，由青年教师申请和指导教师推荐，经学院及教师发展中心考核，成绩优异者可缩短为半年。</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三、培养实施单位</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培养实施单位为青年教师所在的教学单位。教学单位须为每个培养对象确定指导教师，每名指导教师原则</w:t>
      </w:r>
      <w:r>
        <w:rPr>
          <w:rFonts w:asciiTheme="minorEastAsia" w:hAnsiTheme="minorEastAsia"/>
          <w:sz w:val="24"/>
          <w:szCs w:val="24"/>
        </w:rPr>
        <w:t>上</w:t>
      </w:r>
      <w:r>
        <w:rPr>
          <w:rFonts w:hint="eastAsia" w:asciiTheme="minorEastAsia" w:hAnsiTheme="minorEastAsia"/>
          <w:sz w:val="24"/>
          <w:szCs w:val="24"/>
        </w:rPr>
        <w:t>只可以指导1名青年教师。</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四、指导教师的选聘</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担任青年教师导师应具备以下条件：</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 指导教师应当具有高尚的师德、强烈的事业心和责任感，教学能力强，教学效果好，具有副教授以上职称，本</w:t>
      </w:r>
      <w:r>
        <w:rPr>
          <w:rFonts w:asciiTheme="minorEastAsia" w:hAnsiTheme="minorEastAsia"/>
          <w:sz w:val="24"/>
          <w:szCs w:val="24"/>
        </w:rPr>
        <w:t>校</w:t>
      </w:r>
      <w:r>
        <w:rPr>
          <w:rFonts w:hint="eastAsia" w:asciiTheme="minorEastAsia" w:hAnsiTheme="minorEastAsia"/>
          <w:sz w:val="24"/>
          <w:szCs w:val="24"/>
        </w:rPr>
        <w:t>教龄5年以上。</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 教学效果好，近三年教学业绩考核成绩至少有一个A，且学生测评成绩位于学院（单位）全体教师的前50%。</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3.从事</w:t>
      </w:r>
      <w:r>
        <w:rPr>
          <w:rFonts w:asciiTheme="minorEastAsia" w:hAnsiTheme="minorEastAsia"/>
          <w:sz w:val="24"/>
          <w:szCs w:val="24"/>
        </w:rPr>
        <w:t>领域</w:t>
      </w:r>
      <w:r>
        <w:rPr>
          <w:rFonts w:hint="eastAsia" w:asciiTheme="minorEastAsia" w:hAnsiTheme="minorEastAsia"/>
          <w:sz w:val="24"/>
          <w:szCs w:val="24"/>
        </w:rPr>
        <w:t>与被指导对象属于同一学科（或相近学科）。</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学校鼓励各级教学名师、教坛新秀、教学比赛获奖者等优秀教师积极担任指导教师。</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培养对象为学生专职辅导员的指导教师，由学生处根据培养对象的实际情况，依据学校有关文件要求确定。</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五、培养要求与导师职责</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青年教师应完成的工作及指导教师的工作要求参见《嘉兴学院青年教师助讲培养制度实施办法》。</w:t>
      </w:r>
    </w:p>
    <w:p>
      <w:pPr>
        <w:spacing w:line="360" w:lineRule="auto"/>
        <w:ind w:firstLine="482" w:firstLineChars="200"/>
        <w:rPr>
          <w:rFonts w:asciiTheme="minorEastAsia" w:hAnsiTheme="minorEastAsia"/>
          <w:sz w:val="24"/>
          <w:szCs w:val="24"/>
        </w:rPr>
      </w:pPr>
      <w:r>
        <w:rPr>
          <w:rFonts w:hint="eastAsia" w:asciiTheme="minorEastAsia" w:hAnsiTheme="minorEastAsia"/>
          <w:b/>
          <w:sz w:val="24"/>
          <w:szCs w:val="24"/>
        </w:rPr>
        <w:t>重点提示：</w:t>
      </w:r>
      <w:r>
        <w:rPr>
          <w:rFonts w:hint="eastAsia" w:asciiTheme="minorEastAsia" w:hAnsiTheme="minorEastAsia"/>
          <w:sz w:val="24"/>
          <w:szCs w:val="24"/>
        </w:rPr>
        <w:t>指导教师必须帮助被指导青年教师，做好“教师职业生涯规划”，其依据既包括青年教师自身发展的需求，也包括所在单位对被指导青年教师的发展方向</w:t>
      </w:r>
      <w:r>
        <w:rPr>
          <w:rFonts w:asciiTheme="minorEastAsia" w:hAnsiTheme="minorEastAsia"/>
          <w:sz w:val="24"/>
          <w:szCs w:val="24"/>
        </w:rPr>
        <w:t>与目标</w:t>
      </w:r>
      <w:r>
        <w:rPr>
          <w:rFonts w:hint="eastAsia" w:asciiTheme="minorEastAsia" w:hAnsiTheme="minorEastAsia"/>
          <w:sz w:val="24"/>
          <w:szCs w:val="24"/>
        </w:rPr>
        <w:t>。</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六、考核</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 培养对象在助讲培养结束时要对自己的助讲工作进行总结，向所在教学单位（或学生处）提交《嘉兴学院青年教师助讲培养工作记录本》或《嘉兴学院青年教师（辅导员）助讲培养工作记录本》、教师职业生涯规划（指导教师签字），以及其它培养过程完成情况的相关材料。</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 培养过程完成后，在学年度末，教学单位（或学生处）须对培养对象进行考核，考核合格者报学校教师发展中心。由教师发展中心检查</w:t>
      </w:r>
      <w:r>
        <w:rPr>
          <w:rFonts w:asciiTheme="minorEastAsia" w:hAnsiTheme="minorEastAsia"/>
          <w:sz w:val="24"/>
          <w:szCs w:val="24"/>
        </w:rPr>
        <w:t>考核内容与</w:t>
      </w:r>
      <w:r>
        <w:rPr>
          <w:rFonts w:hint="eastAsia" w:asciiTheme="minorEastAsia" w:hAnsiTheme="minorEastAsia"/>
          <w:sz w:val="24"/>
          <w:szCs w:val="24"/>
        </w:rPr>
        <w:t>程序</w:t>
      </w:r>
      <w:r>
        <w:rPr>
          <w:rFonts w:asciiTheme="minorEastAsia" w:hAnsiTheme="minorEastAsia"/>
          <w:sz w:val="24"/>
          <w:szCs w:val="24"/>
        </w:rPr>
        <w:t>的合理性</w:t>
      </w:r>
      <w:r>
        <w:rPr>
          <w:rFonts w:hint="eastAsia" w:asciiTheme="minorEastAsia" w:hAnsiTheme="minorEastAsia"/>
          <w:sz w:val="24"/>
          <w:szCs w:val="24"/>
        </w:rPr>
        <w:t>，并给出最终考核意见。</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 考核结论分为合格与不合格两类。学校人事处根据学校教师发展中心的考核意见，在考核结果为合格的基础上认定其主讲教师资格。考核不合格的，由学校根据实际情况及相关规定，对其作延长助讲培养期、调整岗位或解除聘用合同等处理。</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七、导师评优</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学校将对青年教师助讲培养工作开展评优活动，从考核合格者中评选出优秀导师予以表扬。</w:t>
      </w:r>
      <w:r>
        <w:rPr>
          <w:rFonts w:hint="eastAsia" w:asciiTheme="minorEastAsia" w:hAnsiTheme="minorEastAsia"/>
          <w:sz w:val="24"/>
          <w:szCs w:val="24"/>
          <w:lang w:val="en-US" w:eastAsia="zh-CN"/>
        </w:rPr>
        <w:t>优秀导师的推荐按规定比例执行。</w:t>
      </w:r>
    </w:p>
    <w:p>
      <w:pPr>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八、几点说明</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 参加培养的青年教师填写《嘉兴学院青年教师助讲培养计划表》（见附件1）一式四份，学院加盖公章后</w:t>
      </w:r>
      <w:r>
        <w:rPr>
          <w:rFonts w:asciiTheme="minorEastAsia" w:hAnsiTheme="minorEastAsia"/>
          <w:sz w:val="24"/>
          <w:szCs w:val="24"/>
        </w:rPr>
        <w:t>统一</w:t>
      </w:r>
      <w:r>
        <w:rPr>
          <w:rFonts w:hint="eastAsia" w:asciiTheme="minorEastAsia" w:hAnsiTheme="minorEastAsia"/>
          <w:sz w:val="24"/>
          <w:szCs w:val="24"/>
        </w:rPr>
        <w:t>送至教师发展中心，教师发展中心形式</w:t>
      </w:r>
      <w:r>
        <w:rPr>
          <w:rFonts w:asciiTheme="minorEastAsia" w:hAnsiTheme="minorEastAsia"/>
          <w:sz w:val="24"/>
          <w:szCs w:val="24"/>
        </w:rPr>
        <w:t>审查合格</w:t>
      </w:r>
      <w:r>
        <w:rPr>
          <w:rFonts w:hint="eastAsia" w:asciiTheme="minorEastAsia" w:hAnsiTheme="minorEastAsia"/>
          <w:sz w:val="24"/>
          <w:szCs w:val="24"/>
        </w:rPr>
        <w:t>后</w:t>
      </w:r>
      <w:r>
        <w:rPr>
          <w:rFonts w:asciiTheme="minorEastAsia" w:hAnsiTheme="minorEastAsia"/>
          <w:sz w:val="24"/>
          <w:szCs w:val="24"/>
        </w:rPr>
        <w:t>返回</w:t>
      </w:r>
      <w:r>
        <w:rPr>
          <w:rFonts w:hint="eastAsia" w:asciiTheme="minorEastAsia" w:hAnsiTheme="minorEastAsia"/>
          <w:sz w:val="24"/>
          <w:szCs w:val="24"/>
        </w:rPr>
        <w:t>三</w:t>
      </w:r>
      <w:r>
        <w:rPr>
          <w:rFonts w:asciiTheme="minorEastAsia" w:hAnsiTheme="minorEastAsia"/>
          <w:sz w:val="24"/>
          <w:szCs w:val="24"/>
        </w:rPr>
        <w:t>份，</w:t>
      </w:r>
      <w:r>
        <w:rPr>
          <w:rFonts w:hint="eastAsia" w:asciiTheme="minorEastAsia" w:hAnsiTheme="minorEastAsia"/>
          <w:sz w:val="24"/>
          <w:szCs w:val="24"/>
        </w:rPr>
        <w:t>其中一份学院留存，</w:t>
      </w:r>
      <w:r>
        <w:rPr>
          <w:rFonts w:asciiTheme="minorEastAsia" w:hAnsiTheme="minorEastAsia"/>
          <w:sz w:val="24"/>
          <w:szCs w:val="24"/>
        </w:rPr>
        <w:t>一份</w:t>
      </w:r>
      <w:r>
        <w:rPr>
          <w:rFonts w:hint="eastAsia" w:asciiTheme="minorEastAsia" w:hAnsiTheme="minorEastAsia"/>
          <w:sz w:val="24"/>
          <w:szCs w:val="24"/>
        </w:rPr>
        <w:t>指导</w:t>
      </w:r>
      <w:r>
        <w:rPr>
          <w:rFonts w:asciiTheme="minorEastAsia" w:hAnsiTheme="minorEastAsia"/>
          <w:sz w:val="24"/>
          <w:szCs w:val="24"/>
        </w:rPr>
        <w:t>教师</w:t>
      </w:r>
      <w:r>
        <w:rPr>
          <w:rFonts w:hint="eastAsia" w:asciiTheme="minorEastAsia" w:hAnsiTheme="minorEastAsia"/>
          <w:sz w:val="24"/>
          <w:szCs w:val="24"/>
        </w:rPr>
        <w:t>留存</w:t>
      </w:r>
      <w:r>
        <w:rPr>
          <w:rFonts w:asciiTheme="minorEastAsia" w:hAnsiTheme="minorEastAsia"/>
          <w:sz w:val="24"/>
          <w:szCs w:val="24"/>
        </w:rPr>
        <w:t>，</w:t>
      </w:r>
      <w:r>
        <w:rPr>
          <w:rFonts w:hint="eastAsia" w:asciiTheme="minorEastAsia" w:hAnsiTheme="minorEastAsia"/>
          <w:sz w:val="24"/>
          <w:szCs w:val="24"/>
        </w:rPr>
        <w:t>另一份</w:t>
      </w:r>
      <w:r>
        <w:rPr>
          <w:rFonts w:asciiTheme="minorEastAsia" w:hAnsiTheme="minorEastAsia"/>
          <w:sz w:val="24"/>
          <w:szCs w:val="24"/>
        </w:rPr>
        <w:t>由青年教师</w:t>
      </w:r>
      <w:r>
        <w:rPr>
          <w:rFonts w:hint="eastAsia" w:asciiTheme="minorEastAsia" w:hAnsiTheme="minorEastAsia"/>
          <w:sz w:val="24"/>
          <w:szCs w:val="24"/>
        </w:rPr>
        <w:t>粘贴在《嘉兴学院青年教师助讲培养工作记录本》第3页上。</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 所在学院填写《学院青年教师助讲培养汇总表》（见附件2）一式一份，加盖学院公章后交教师发展中心；</w:t>
      </w:r>
    </w:p>
    <w:p>
      <w:pPr>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 附件1和附件2纸质</w:t>
      </w:r>
      <w:r>
        <w:rPr>
          <w:rFonts w:asciiTheme="minorEastAsia" w:hAnsiTheme="minorEastAsia"/>
          <w:sz w:val="24"/>
          <w:szCs w:val="24"/>
        </w:rPr>
        <w:t>稿</w:t>
      </w:r>
      <w:r>
        <w:rPr>
          <w:rFonts w:hint="eastAsia" w:asciiTheme="minorEastAsia" w:hAnsiTheme="minorEastAsia"/>
          <w:sz w:val="24"/>
          <w:szCs w:val="24"/>
        </w:rPr>
        <w:t>须在20</w:t>
      </w:r>
      <w:r>
        <w:rPr>
          <w:rFonts w:hint="eastAsia" w:asciiTheme="minorEastAsia" w:hAnsiTheme="minorEastAsia"/>
          <w:sz w:val="24"/>
          <w:szCs w:val="24"/>
          <w:lang w:val="en-US" w:eastAsia="zh-CN"/>
        </w:rPr>
        <w:t>21</w:t>
      </w:r>
      <w:r>
        <w:rPr>
          <w:rFonts w:hint="eastAsia" w:asciiTheme="minorEastAsia" w:hAnsiTheme="minorEastAsia"/>
          <w:sz w:val="24"/>
          <w:szCs w:val="24"/>
        </w:rPr>
        <w:t>年</w:t>
      </w:r>
      <w:r>
        <w:rPr>
          <w:rFonts w:hint="eastAsia" w:asciiTheme="minorEastAsia" w:hAnsiTheme="minorEastAsia"/>
          <w:sz w:val="24"/>
          <w:szCs w:val="24"/>
          <w:lang w:val="en-US" w:eastAsia="zh-CN"/>
        </w:rPr>
        <w:t>10</w:t>
      </w:r>
      <w:r>
        <w:rPr>
          <w:rFonts w:hint="eastAsia" w:asciiTheme="minorEastAsia" w:hAnsiTheme="minorEastAsia"/>
          <w:sz w:val="24"/>
          <w:szCs w:val="24"/>
        </w:rPr>
        <w:t>月</w:t>
      </w:r>
      <w:r>
        <w:rPr>
          <w:rFonts w:hint="eastAsia" w:asciiTheme="minorEastAsia" w:hAnsiTheme="minorEastAsia"/>
          <w:sz w:val="24"/>
          <w:szCs w:val="24"/>
          <w:lang w:val="en-US" w:eastAsia="zh-CN"/>
        </w:rPr>
        <w:t>15</w:t>
      </w:r>
      <w:r>
        <w:rPr>
          <w:rFonts w:hint="eastAsia" w:asciiTheme="minorEastAsia" w:hAnsiTheme="minorEastAsia"/>
          <w:sz w:val="24"/>
          <w:szCs w:val="24"/>
        </w:rPr>
        <w:t>日前报到教师发展中心，同时将电子稿发教师</w:t>
      </w:r>
      <w:r>
        <w:rPr>
          <w:rFonts w:asciiTheme="minorEastAsia" w:hAnsiTheme="minorEastAsia"/>
          <w:sz w:val="24"/>
          <w:szCs w:val="24"/>
        </w:rPr>
        <w:t>发展中心</w:t>
      </w:r>
      <w:r>
        <w:rPr>
          <w:rFonts w:hint="eastAsia" w:asciiTheme="minorEastAsia" w:hAnsiTheme="minorEastAsia"/>
          <w:sz w:val="24"/>
          <w:szCs w:val="24"/>
        </w:rPr>
        <w:t>王佳慧的办公系统信箱。教师发展中心将对上报人员名单进行审核确认，并在</w:t>
      </w:r>
      <w:r>
        <w:rPr>
          <w:rFonts w:asciiTheme="minorEastAsia" w:hAnsiTheme="minorEastAsia"/>
          <w:sz w:val="24"/>
          <w:szCs w:val="24"/>
        </w:rPr>
        <w:t>学校</w:t>
      </w:r>
      <w:r>
        <w:rPr>
          <w:rFonts w:hint="eastAsia" w:asciiTheme="minorEastAsia" w:hAnsiTheme="minorEastAsia"/>
          <w:sz w:val="24"/>
          <w:szCs w:val="24"/>
        </w:rPr>
        <w:t>办公</w:t>
      </w:r>
      <w:r>
        <w:rPr>
          <w:rFonts w:asciiTheme="minorEastAsia" w:hAnsiTheme="minorEastAsia"/>
          <w:sz w:val="24"/>
          <w:szCs w:val="24"/>
        </w:rPr>
        <w:t>系统予以公布</w:t>
      </w:r>
      <w:r>
        <w:rPr>
          <w:rFonts w:hint="eastAsia" w:asciiTheme="minorEastAsia" w:hAnsiTheme="minorEastAsia"/>
          <w:sz w:val="24"/>
          <w:szCs w:val="24"/>
        </w:rPr>
        <w:t>。</w:t>
      </w:r>
    </w:p>
    <w:p>
      <w:pPr>
        <w:rPr>
          <w:sz w:val="24"/>
          <w:szCs w:val="24"/>
        </w:rPr>
      </w:pPr>
    </w:p>
    <w:p>
      <w:pPr>
        <w:spacing w:line="360" w:lineRule="auto"/>
        <w:rPr>
          <w:rFonts w:asciiTheme="minorEastAsia" w:hAnsiTheme="minorEastAsia"/>
          <w:sz w:val="24"/>
          <w:szCs w:val="24"/>
        </w:rPr>
      </w:pPr>
      <w:r>
        <w:rPr>
          <w:rFonts w:hint="eastAsia" w:asciiTheme="minorEastAsia" w:hAnsiTheme="minorEastAsia"/>
          <w:sz w:val="24"/>
          <w:szCs w:val="24"/>
        </w:rPr>
        <w:t>附件：</w:t>
      </w:r>
    </w:p>
    <w:p>
      <w:pPr>
        <w:spacing w:line="360" w:lineRule="auto"/>
        <w:rPr>
          <w:rFonts w:asciiTheme="minorEastAsia" w:hAnsiTheme="minorEastAsia"/>
          <w:sz w:val="24"/>
          <w:szCs w:val="24"/>
        </w:rPr>
      </w:pPr>
      <w:r>
        <w:rPr>
          <w:rFonts w:hint="eastAsia" w:asciiTheme="minorEastAsia" w:hAnsiTheme="minorEastAsia"/>
          <w:sz w:val="24"/>
          <w:szCs w:val="24"/>
        </w:rPr>
        <w:t>1. 嘉兴学院青年教师助讲培养计划表</w:t>
      </w:r>
    </w:p>
    <w:p>
      <w:pPr>
        <w:spacing w:line="360" w:lineRule="auto"/>
        <w:rPr>
          <w:rFonts w:asciiTheme="minorEastAsia" w:hAnsiTheme="minorEastAsia"/>
          <w:sz w:val="24"/>
          <w:szCs w:val="24"/>
        </w:rPr>
      </w:pPr>
      <w:r>
        <w:rPr>
          <w:rFonts w:hint="eastAsia" w:asciiTheme="minorEastAsia" w:hAnsiTheme="minorEastAsia"/>
          <w:sz w:val="24"/>
          <w:szCs w:val="24"/>
        </w:rPr>
        <w:t>2. 嘉兴学院青年教师助讲培养汇总表</w:t>
      </w:r>
    </w:p>
    <w:p>
      <w:pPr>
        <w:spacing w:line="360" w:lineRule="auto"/>
        <w:rPr>
          <w:rFonts w:asciiTheme="minorEastAsia" w:hAnsiTheme="minorEastAsia"/>
          <w:sz w:val="24"/>
          <w:szCs w:val="24"/>
        </w:rPr>
      </w:pPr>
      <w:r>
        <w:rPr>
          <w:rFonts w:hint="eastAsia" w:asciiTheme="minorEastAsia" w:hAnsiTheme="minorEastAsia"/>
          <w:sz w:val="24"/>
          <w:szCs w:val="24"/>
        </w:rPr>
        <w:t>3. 《嘉兴学院青年教师助讲培养制度实施办法》</w:t>
      </w:r>
    </w:p>
    <w:p>
      <w:pPr>
        <w:spacing w:line="360" w:lineRule="auto"/>
        <w:rPr>
          <w:rFonts w:asciiTheme="minorEastAsia" w:hAnsiTheme="minorEastAsia"/>
          <w:sz w:val="24"/>
          <w:szCs w:val="24"/>
        </w:rPr>
      </w:pPr>
    </w:p>
    <w:p>
      <w:pPr>
        <w:spacing w:line="360" w:lineRule="auto"/>
        <w:rPr>
          <w:sz w:val="24"/>
          <w:szCs w:val="24"/>
        </w:rPr>
      </w:pPr>
    </w:p>
    <w:p>
      <w:pPr>
        <w:spacing w:line="360" w:lineRule="auto"/>
        <w:ind w:right="560" w:firstLine="4320" w:firstLineChars="1800"/>
        <w:rPr>
          <w:rFonts w:asciiTheme="minorEastAsia" w:hAnsiTheme="minorEastAsia"/>
          <w:sz w:val="24"/>
          <w:szCs w:val="24"/>
        </w:rPr>
      </w:pPr>
      <w:r>
        <w:rPr>
          <w:rFonts w:hint="eastAsia" w:asciiTheme="minorEastAsia" w:hAnsiTheme="minorEastAsia"/>
          <w:sz w:val="24"/>
          <w:szCs w:val="24"/>
        </w:rPr>
        <w:t>教师发展中心</w:t>
      </w:r>
    </w:p>
    <w:p>
      <w:pPr>
        <w:spacing w:line="360" w:lineRule="auto"/>
        <w:ind w:right="560" w:firstLine="4080" w:firstLineChars="1700"/>
        <w:rPr>
          <w:rFonts w:asciiTheme="minorEastAsia" w:hAnsiTheme="minorEastAsia"/>
          <w:sz w:val="24"/>
          <w:szCs w:val="24"/>
        </w:rPr>
      </w:pPr>
      <w:r>
        <w:rPr>
          <w:rFonts w:hint="eastAsia" w:asciiTheme="minorEastAsia" w:hAnsiTheme="minorEastAsia"/>
          <w:sz w:val="24"/>
          <w:szCs w:val="24"/>
        </w:rPr>
        <w:t>20</w:t>
      </w:r>
      <w:r>
        <w:rPr>
          <w:rFonts w:hint="eastAsia" w:asciiTheme="minorEastAsia" w:hAnsiTheme="minorEastAsia"/>
          <w:sz w:val="24"/>
          <w:szCs w:val="24"/>
          <w:lang w:val="en-US" w:eastAsia="zh-CN"/>
        </w:rPr>
        <w:t>21</w:t>
      </w:r>
      <w:r>
        <w:rPr>
          <w:rFonts w:hint="eastAsia" w:asciiTheme="minorEastAsia" w:hAnsiTheme="minorEastAsia"/>
          <w:sz w:val="24"/>
          <w:szCs w:val="24"/>
        </w:rPr>
        <w:t>年9月</w:t>
      </w:r>
      <w:r>
        <w:rPr>
          <w:rFonts w:hint="eastAsia" w:asciiTheme="minorEastAsia" w:hAnsiTheme="minorEastAsia"/>
          <w:sz w:val="24"/>
          <w:szCs w:val="24"/>
          <w:lang w:val="en-US" w:eastAsia="zh-CN"/>
        </w:rPr>
        <w:t>9</w:t>
      </w:r>
      <w:r>
        <w:rPr>
          <w:rFonts w:hint="eastAsia" w:asciiTheme="minorEastAsia" w:hAnsiTheme="minorEastAsia"/>
          <w:sz w:val="24"/>
          <w:szCs w:val="24"/>
        </w:rPr>
        <w:t>日</w:t>
      </w:r>
    </w:p>
    <w:p>
      <w:pPr>
        <w:jc w:val="right"/>
        <w:rPr>
          <w:rFonts w:asciiTheme="minorEastAsia" w:hAnsiTheme="minorEastAsia"/>
          <w:sz w:val="28"/>
          <w:szCs w:val="28"/>
        </w:rPr>
      </w:pPr>
    </w:p>
    <w:p>
      <w:pPr>
        <w:jc w:val="right"/>
        <w:rPr>
          <w:rFonts w:asciiTheme="minorEastAsia" w:hAnsiTheme="minorEastAsia"/>
          <w:sz w:val="28"/>
          <w:szCs w:val="28"/>
        </w:rPr>
      </w:pPr>
    </w:p>
    <w:p>
      <w:pPr>
        <w:jc w:val="right"/>
        <w:rPr>
          <w:rFonts w:asciiTheme="minorEastAsia" w:hAnsiTheme="minorEastAsia"/>
          <w:sz w:val="28"/>
          <w:szCs w:val="28"/>
        </w:rPr>
      </w:pPr>
    </w:p>
    <w:p>
      <w:pPr>
        <w:jc w:val="right"/>
        <w:rPr>
          <w:rFonts w:asciiTheme="minorEastAsia" w:hAnsiTheme="minorEastAsia"/>
          <w:sz w:val="28"/>
          <w:szCs w:val="28"/>
        </w:rPr>
      </w:pPr>
    </w:p>
    <w:p>
      <w:pPr>
        <w:jc w:val="right"/>
        <w:rPr>
          <w:rFonts w:asciiTheme="minorEastAsia" w:hAnsiTheme="minorEastAsia"/>
          <w:sz w:val="28"/>
          <w:szCs w:val="28"/>
        </w:rPr>
      </w:pPr>
    </w:p>
    <w:p>
      <w:pPr>
        <w:jc w:val="right"/>
        <w:rPr>
          <w:rFonts w:asciiTheme="minorEastAsia" w:hAnsiTheme="minorEastAsia"/>
          <w:sz w:val="28"/>
          <w:szCs w:val="28"/>
        </w:rPr>
      </w:pPr>
    </w:p>
    <w:p>
      <w:pPr>
        <w:jc w:val="right"/>
        <w:rPr>
          <w:rFonts w:asciiTheme="minorEastAsia" w:hAnsiTheme="minorEastAsia"/>
          <w:sz w:val="28"/>
          <w:szCs w:val="28"/>
        </w:rPr>
      </w:pPr>
    </w:p>
    <w:p>
      <w:pPr>
        <w:jc w:val="right"/>
        <w:rPr>
          <w:rFonts w:asciiTheme="minorEastAsia" w:hAnsiTheme="minorEastAsia"/>
          <w:sz w:val="28"/>
          <w:szCs w:val="28"/>
        </w:rPr>
      </w:pPr>
    </w:p>
    <w:p>
      <w:pPr>
        <w:jc w:val="right"/>
        <w:rPr>
          <w:rFonts w:asciiTheme="minorEastAsia" w:hAnsiTheme="minorEastAsia"/>
          <w:sz w:val="28"/>
          <w:szCs w:val="28"/>
        </w:rPr>
      </w:pPr>
    </w:p>
    <w:p>
      <w:pPr>
        <w:jc w:val="right"/>
        <w:rPr>
          <w:rFonts w:asciiTheme="minorEastAsia" w:hAnsiTheme="minorEastAsia"/>
          <w:sz w:val="28"/>
          <w:szCs w:val="28"/>
        </w:rPr>
      </w:pPr>
    </w:p>
    <w:p>
      <w:pPr>
        <w:jc w:val="right"/>
        <w:rPr>
          <w:rFonts w:asciiTheme="minorEastAsia" w:hAnsiTheme="minorEastAsia"/>
          <w:sz w:val="28"/>
          <w:szCs w:val="28"/>
        </w:rPr>
      </w:pPr>
    </w:p>
    <w:p>
      <w:pPr>
        <w:spacing w:line="360" w:lineRule="auto"/>
        <w:ind w:right="25" w:rightChars="12"/>
        <w:rPr>
          <w:rFonts w:hint="eastAsia" w:ascii="黑体" w:hAnsi="Times New Roman" w:eastAsia="黑体" w:cs="Times New Roman"/>
          <w:sz w:val="24"/>
          <w:szCs w:val="24"/>
        </w:rPr>
      </w:pPr>
    </w:p>
    <w:p>
      <w:pPr>
        <w:spacing w:line="360" w:lineRule="auto"/>
        <w:ind w:right="25" w:rightChars="12"/>
        <w:rPr>
          <w:rFonts w:hint="eastAsia" w:ascii="黑体" w:hAnsi="Times New Roman" w:eastAsia="黑体" w:cs="Times New Roman"/>
          <w:sz w:val="24"/>
          <w:szCs w:val="24"/>
        </w:rPr>
      </w:pPr>
      <w:bookmarkStart w:id="0" w:name="_GoBack"/>
      <w:bookmarkEnd w:id="0"/>
      <w:r>
        <w:rPr>
          <w:rFonts w:hint="eastAsia" w:ascii="黑体" w:hAnsi="Times New Roman" w:eastAsia="黑体" w:cs="Times New Roman"/>
          <w:sz w:val="24"/>
          <w:szCs w:val="24"/>
        </w:rPr>
        <w:t>附件</w:t>
      </w:r>
      <w:r>
        <w:rPr>
          <w:rFonts w:hint="eastAsia" w:ascii="黑体" w:hAnsi="Times New Roman" w:eastAsia="黑体" w:cs="Times New Roman"/>
          <w:sz w:val="24"/>
          <w:szCs w:val="24"/>
          <w:lang w:val="en-US" w:eastAsia="zh-CN"/>
        </w:rPr>
        <w:t>1</w:t>
      </w:r>
      <w:r>
        <w:rPr>
          <w:rFonts w:hint="eastAsia" w:ascii="黑体" w:hAnsi="Times New Roman" w:eastAsia="黑体" w:cs="Times New Roman"/>
          <w:sz w:val="24"/>
          <w:szCs w:val="24"/>
        </w:rPr>
        <w:t>：</w:t>
      </w:r>
    </w:p>
    <w:p>
      <w:pPr>
        <w:snapToGrid w:val="0"/>
        <w:spacing w:after="156" w:afterLines="50"/>
        <w:jc w:val="center"/>
        <w:rPr>
          <w:rFonts w:hint="eastAsia" w:ascii="仿宋_GB2312" w:hAnsi="Times New Roman" w:eastAsia="仿宋_GB2312" w:cs="Times New Roman"/>
          <w:b/>
          <w:sz w:val="24"/>
          <w:szCs w:val="24"/>
        </w:rPr>
      </w:pPr>
      <w:r>
        <w:rPr>
          <w:rFonts w:hint="eastAsia" w:ascii="仿宋_GB2312" w:hAnsi="Times New Roman" w:eastAsia="仿宋_GB2312" w:cs="Times New Roman"/>
          <w:b/>
          <w:sz w:val="24"/>
          <w:szCs w:val="24"/>
        </w:rPr>
        <w:t>嘉兴学院青年教师助讲培养计划表</w:t>
      </w:r>
    </w:p>
    <w:tbl>
      <w:tblPr>
        <w:tblStyle w:val="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0"/>
        <w:gridCol w:w="1277"/>
        <w:gridCol w:w="1418"/>
        <w:gridCol w:w="568"/>
        <w:gridCol w:w="566"/>
        <w:gridCol w:w="1421"/>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楷体_GB2312" w:hAnsi="Times New Roman" w:eastAsia="楷体_GB2312" w:cs="Times New Roman"/>
                <w:bCs/>
                <w:sz w:val="24"/>
                <w:szCs w:val="24"/>
              </w:rPr>
            </w:pPr>
            <w:r>
              <w:rPr>
                <w:rFonts w:hint="eastAsia" w:ascii="楷体_GB2312" w:hAnsi="Times New Roman" w:eastAsia="楷体_GB2312" w:cs="Times New Roman"/>
                <w:bCs/>
                <w:sz w:val="24"/>
                <w:szCs w:val="24"/>
              </w:rPr>
              <w:t>培养对象姓名</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楷体_GB2312" w:hAnsi="Times New Roman" w:eastAsia="楷体_GB2312" w:cs="Times New Roman"/>
                <w:bCs/>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楷体_GB2312" w:hAnsi="Times New Roman" w:eastAsia="楷体_GB2312" w:cs="Times New Roman"/>
                <w:bCs/>
                <w:sz w:val="24"/>
                <w:szCs w:val="24"/>
              </w:rPr>
            </w:pPr>
            <w:r>
              <w:rPr>
                <w:rFonts w:hint="eastAsia" w:ascii="楷体_GB2312" w:hAnsi="Times New Roman" w:eastAsia="楷体_GB2312" w:cs="Times New Roman"/>
                <w:bCs/>
                <w:sz w:val="24"/>
                <w:szCs w:val="24"/>
              </w:rPr>
              <w:t xml:space="preserve">性 </w:t>
            </w:r>
            <w:r>
              <w:rPr>
                <w:rFonts w:ascii="楷体_GB2312" w:hAnsi="Times New Roman" w:eastAsia="楷体_GB2312" w:cs="Times New Roman"/>
                <w:bCs/>
                <w:sz w:val="24"/>
                <w:szCs w:val="24"/>
              </w:rPr>
              <w:t xml:space="preserve"> </w:t>
            </w:r>
            <w:r>
              <w:rPr>
                <w:rFonts w:hint="eastAsia" w:ascii="楷体_GB2312" w:hAnsi="Times New Roman" w:eastAsia="楷体_GB2312" w:cs="Times New Roman"/>
                <w:bCs/>
                <w:sz w:val="24"/>
                <w:szCs w:val="24"/>
              </w:rPr>
              <w:t>别</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楷体_GB2312" w:hAnsi="Times New Roman" w:eastAsia="楷体_GB2312" w:cs="Times New Roman"/>
                <w:bCs/>
                <w:sz w:val="24"/>
                <w:szCs w:val="24"/>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楷体_GB2312" w:hAnsi="Times New Roman" w:eastAsia="楷体_GB2312" w:cs="Times New Roman"/>
                <w:bCs/>
                <w:sz w:val="24"/>
                <w:szCs w:val="24"/>
              </w:rPr>
            </w:pPr>
            <w:r>
              <w:rPr>
                <w:rFonts w:hint="eastAsia" w:ascii="楷体_GB2312" w:hAnsi="Times New Roman" w:eastAsia="楷体_GB2312" w:cs="Times New Roman"/>
                <w:bCs/>
                <w:sz w:val="24"/>
                <w:szCs w:val="24"/>
              </w:rPr>
              <w:t>出生年月</w:t>
            </w:r>
          </w:p>
        </w:tc>
        <w:tc>
          <w:tcPr>
            <w:tcW w:w="14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楷体_GB2312" w:hAnsi="Times New Roman" w:eastAsia="楷体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atLeast"/>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left"/>
              <w:rPr>
                <w:rFonts w:ascii="楷体_GB2312" w:hAnsi="Times New Roman" w:eastAsia="楷体_GB2312" w:cs="Times New Roman"/>
                <w:bCs/>
                <w:sz w:val="24"/>
                <w:szCs w:val="24"/>
              </w:rPr>
            </w:pPr>
            <w:r>
              <w:rPr>
                <w:rFonts w:hint="eastAsia" w:ascii="楷体_GB2312" w:hAnsi="Times New Roman" w:eastAsia="楷体_GB2312" w:cs="Times New Roman"/>
                <w:bCs/>
                <w:sz w:val="24"/>
                <w:szCs w:val="24"/>
              </w:rPr>
              <w:t>入职本校时间</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ind w:firstLine="480" w:firstLineChars="200"/>
              <w:jc w:val="left"/>
              <w:rPr>
                <w:rFonts w:ascii="楷体_GB2312" w:hAnsi="Times New Roman" w:eastAsia="楷体_GB2312" w:cs="Times New Roman"/>
                <w:bCs/>
                <w:sz w:val="24"/>
                <w:szCs w:val="24"/>
              </w:rPr>
            </w:pPr>
            <w:r>
              <w:rPr>
                <w:rFonts w:hint="eastAsia" w:ascii="楷体_GB2312" w:hAnsi="Times New Roman" w:eastAsia="楷体_GB2312" w:cs="Times New Roman"/>
                <w:bCs/>
                <w:sz w:val="24"/>
                <w:szCs w:val="24"/>
              </w:rPr>
              <w:t>年  月</w:t>
            </w:r>
          </w:p>
        </w:tc>
        <w:tc>
          <w:tcPr>
            <w:tcW w:w="198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楷体_GB2312" w:hAnsi="Times New Roman" w:eastAsia="楷体_GB2312" w:cs="Times New Roman"/>
                <w:bCs/>
                <w:sz w:val="24"/>
                <w:szCs w:val="24"/>
              </w:rPr>
            </w:pPr>
            <w:r>
              <w:rPr>
                <w:rFonts w:hint="eastAsia" w:ascii="楷体_GB2312" w:hAnsi="Times New Roman" w:eastAsia="楷体_GB2312" w:cs="Times New Roman"/>
                <w:bCs/>
                <w:sz w:val="24"/>
                <w:szCs w:val="24"/>
              </w:rPr>
              <w:t>入职本校前的高校教学经历</w:t>
            </w:r>
          </w:p>
        </w:tc>
        <w:tc>
          <w:tcPr>
            <w:tcW w:w="34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楷体_GB2312" w:hAnsi="Times New Roman" w:eastAsia="楷体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6" w:hRule="atLeast"/>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left"/>
              <w:rPr>
                <w:rFonts w:ascii="楷体_GB2312" w:hAnsi="Times New Roman" w:eastAsia="楷体_GB2312" w:cs="Times New Roman"/>
                <w:bCs/>
                <w:sz w:val="24"/>
                <w:szCs w:val="24"/>
              </w:rPr>
            </w:pPr>
            <w:r>
              <w:rPr>
                <w:rFonts w:hint="eastAsia" w:ascii="楷体_GB2312" w:hAnsi="宋体" w:eastAsia="楷体_GB2312" w:cs="Times New Roman"/>
                <w:bCs/>
                <w:sz w:val="24"/>
                <w:szCs w:val="24"/>
              </w:rPr>
              <w:t>拟任教专业</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left"/>
              <w:rPr>
                <w:rFonts w:ascii="楷体_GB2312" w:hAnsi="Times New Roman" w:eastAsia="楷体_GB2312" w:cs="Times New Roman"/>
                <w:bCs/>
                <w:sz w:val="24"/>
                <w:szCs w:val="24"/>
              </w:rPr>
            </w:pPr>
          </w:p>
        </w:tc>
        <w:tc>
          <w:tcPr>
            <w:tcW w:w="198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left"/>
              <w:rPr>
                <w:rFonts w:ascii="楷体_GB2312" w:hAnsi="Times New Roman" w:eastAsia="楷体_GB2312" w:cs="Times New Roman"/>
                <w:bCs/>
                <w:sz w:val="24"/>
                <w:szCs w:val="24"/>
              </w:rPr>
            </w:pPr>
            <w:r>
              <w:rPr>
                <w:rFonts w:hint="eastAsia" w:ascii="楷体_GB2312" w:hAnsi="宋体" w:eastAsia="楷体_GB2312" w:cs="Times New Roman"/>
                <w:bCs/>
                <w:sz w:val="24"/>
                <w:szCs w:val="24"/>
              </w:rPr>
              <w:t>研究领域</w:t>
            </w:r>
          </w:p>
        </w:tc>
        <w:tc>
          <w:tcPr>
            <w:tcW w:w="34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楷体_GB2312" w:hAnsi="Times New Roman" w:eastAsia="楷体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308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楷体_GB2312" w:hAnsi="宋体" w:eastAsia="楷体_GB2312" w:cs="Times New Roman"/>
                <w:bCs/>
                <w:sz w:val="24"/>
                <w:szCs w:val="24"/>
              </w:rPr>
            </w:pPr>
            <w:r>
              <w:rPr>
                <w:rFonts w:hint="eastAsia" w:ascii="楷体_GB2312" w:hAnsi="宋体" w:eastAsia="楷体_GB2312" w:cs="Times New Roman"/>
                <w:bCs/>
                <w:sz w:val="24"/>
                <w:szCs w:val="24"/>
              </w:rPr>
              <w:t>毕业学校、所学专业、学位、毕业时间</w:t>
            </w:r>
          </w:p>
        </w:tc>
        <w:tc>
          <w:tcPr>
            <w:tcW w:w="5437"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楷体_GB2312" w:hAnsi="宋体" w:eastAsia="楷体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jc w:val="center"/>
        </w:trPr>
        <w:tc>
          <w:tcPr>
            <w:tcW w:w="3085"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ascii="楷体_GB2312" w:hAnsi="宋体" w:eastAsia="楷体_GB2312" w:cs="Times New Roman"/>
                <w:bCs/>
                <w:sz w:val="24"/>
                <w:szCs w:val="24"/>
              </w:rPr>
            </w:pPr>
            <w:r>
              <w:rPr>
                <w:rFonts w:hint="eastAsia" w:ascii="楷体_GB2312" w:hAnsi="宋体" w:eastAsia="楷体_GB2312" w:cs="Times New Roman"/>
                <w:bCs/>
                <w:sz w:val="24"/>
                <w:szCs w:val="24"/>
              </w:rPr>
              <w:t>非高校工作经历、获得职业资格证书名称及颁发单位</w:t>
            </w:r>
          </w:p>
        </w:tc>
        <w:tc>
          <w:tcPr>
            <w:tcW w:w="5437"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楷体_GB2312" w:hAnsi="宋体" w:eastAsia="楷体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楷体_GB2312" w:hAnsi="Times New Roman" w:eastAsia="楷体_GB2312" w:cs="Times New Roman"/>
                <w:bCs/>
                <w:sz w:val="24"/>
                <w:szCs w:val="24"/>
              </w:rPr>
            </w:pPr>
            <w:r>
              <w:rPr>
                <w:rFonts w:hint="eastAsia" w:ascii="楷体_GB2312" w:hAnsi="Times New Roman" w:eastAsia="楷体_GB2312" w:cs="Times New Roman"/>
                <w:bCs/>
                <w:sz w:val="24"/>
                <w:szCs w:val="24"/>
              </w:rPr>
              <w:t>指导教师姓名</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楷体_GB2312" w:hAnsi="Times New Roman" w:eastAsia="楷体_GB2312" w:cs="Times New Roman"/>
                <w:bCs/>
                <w:sz w:val="24"/>
                <w:szCs w:val="24"/>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楷体_GB2312" w:hAnsi="Times New Roman" w:eastAsia="楷体_GB2312" w:cs="Times New Roman"/>
                <w:bCs/>
                <w:sz w:val="24"/>
                <w:szCs w:val="24"/>
              </w:rPr>
            </w:pPr>
            <w:r>
              <w:rPr>
                <w:rFonts w:hint="eastAsia" w:ascii="楷体_GB2312" w:hAnsi="Times New Roman" w:eastAsia="楷体_GB2312" w:cs="Times New Roman"/>
                <w:bCs/>
                <w:sz w:val="24"/>
                <w:szCs w:val="24"/>
              </w:rPr>
              <w:t xml:space="preserve">性 </w:t>
            </w:r>
            <w:r>
              <w:rPr>
                <w:rFonts w:ascii="楷体_GB2312" w:hAnsi="Times New Roman" w:eastAsia="楷体_GB2312" w:cs="Times New Roman"/>
                <w:bCs/>
                <w:sz w:val="24"/>
                <w:szCs w:val="24"/>
              </w:rPr>
              <w:t xml:space="preserve"> </w:t>
            </w:r>
            <w:r>
              <w:rPr>
                <w:rFonts w:hint="eastAsia" w:ascii="楷体_GB2312" w:hAnsi="Times New Roman" w:eastAsia="楷体_GB2312" w:cs="Times New Roman"/>
                <w:bCs/>
                <w:sz w:val="24"/>
                <w:szCs w:val="24"/>
              </w:rPr>
              <w:t>别</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楷体_GB2312" w:hAnsi="Times New Roman" w:eastAsia="楷体_GB2312" w:cs="Times New Roman"/>
                <w:bCs/>
                <w:sz w:val="24"/>
                <w:szCs w:val="24"/>
              </w:rPr>
            </w:pPr>
          </w:p>
        </w:tc>
        <w:tc>
          <w:tcPr>
            <w:tcW w:w="142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楷体_GB2312" w:hAnsi="Times New Roman" w:eastAsia="楷体_GB2312" w:cs="Times New Roman"/>
                <w:bCs/>
                <w:sz w:val="24"/>
                <w:szCs w:val="24"/>
              </w:rPr>
            </w:pPr>
            <w:r>
              <w:rPr>
                <w:rFonts w:hint="eastAsia" w:ascii="楷体_GB2312" w:hAnsi="Times New Roman" w:eastAsia="楷体_GB2312" w:cs="Times New Roman"/>
                <w:bCs/>
                <w:sz w:val="24"/>
                <w:szCs w:val="24"/>
              </w:rPr>
              <w:t>出生年月</w:t>
            </w:r>
          </w:p>
        </w:tc>
        <w:tc>
          <w:tcPr>
            <w:tcW w:w="14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楷体_GB2312" w:hAnsi="Times New Roman" w:eastAsia="楷体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楷体_GB2312" w:hAnsi="Times New Roman" w:eastAsia="楷体_GB2312" w:cs="Times New Roman"/>
                <w:bCs/>
                <w:sz w:val="24"/>
                <w:szCs w:val="24"/>
              </w:rPr>
            </w:pPr>
            <w:r>
              <w:rPr>
                <w:rFonts w:hint="eastAsia" w:ascii="楷体_GB2312" w:hAnsi="Times New Roman" w:eastAsia="楷体_GB2312" w:cs="Times New Roman"/>
                <w:bCs/>
                <w:sz w:val="24"/>
                <w:szCs w:val="24"/>
              </w:rPr>
              <w:t>职  称</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00" w:lineRule="auto"/>
              <w:jc w:val="center"/>
              <w:rPr>
                <w:rFonts w:ascii="楷体_GB2312" w:hAnsi="Times New Roman" w:eastAsia="楷体_GB2312" w:cs="Times New Roman"/>
                <w:bCs/>
                <w:sz w:val="24"/>
                <w:szCs w:val="24"/>
              </w:rPr>
            </w:pPr>
          </w:p>
        </w:tc>
        <w:tc>
          <w:tcPr>
            <w:tcW w:w="198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left"/>
              <w:rPr>
                <w:rFonts w:ascii="楷体_GB2312" w:hAnsi="Times New Roman" w:eastAsia="楷体_GB2312" w:cs="Times New Roman"/>
                <w:bCs/>
                <w:sz w:val="24"/>
                <w:szCs w:val="24"/>
              </w:rPr>
            </w:pPr>
            <w:r>
              <w:rPr>
                <w:rFonts w:hint="eastAsia" w:ascii="楷体_GB2312" w:hAnsi="Times New Roman" w:eastAsia="楷体_GB2312" w:cs="Times New Roman"/>
                <w:bCs/>
                <w:sz w:val="24"/>
                <w:szCs w:val="24"/>
              </w:rPr>
              <w:t>所在部门及职务</w:t>
            </w:r>
          </w:p>
        </w:tc>
        <w:tc>
          <w:tcPr>
            <w:tcW w:w="34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楷体_GB2312" w:hAnsi="Times New Roman" w:eastAsia="楷体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4" w:hRule="atLeast"/>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left"/>
              <w:rPr>
                <w:rFonts w:ascii="楷体_GB2312" w:hAnsi="Times New Roman" w:eastAsia="楷体_GB2312" w:cs="Times New Roman"/>
                <w:bCs/>
                <w:sz w:val="24"/>
                <w:szCs w:val="24"/>
              </w:rPr>
            </w:pPr>
            <w:r>
              <w:rPr>
                <w:rFonts w:hint="eastAsia" w:ascii="楷体_GB2312" w:hAnsi="宋体" w:eastAsia="楷体_GB2312" w:cs="Times New Roman"/>
                <w:bCs/>
                <w:sz w:val="24"/>
                <w:szCs w:val="24"/>
              </w:rPr>
              <w:t>任教专业</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00" w:lineRule="auto"/>
              <w:jc w:val="left"/>
              <w:rPr>
                <w:rFonts w:ascii="楷体_GB2312" w:hAnsi="Times New Roman" w:eastAsia="楷体_GB2312" w:cs="Times New Roman"/>
                <w:bCs/>
                <w:sz w:val="24"/>
                <w:szCs w:val="24"/>
              </w:rPr>
            </w:pPr>
          </w:p>
        </w:tc>
        <w:tc>
          <w:tcPr>
            <w:tcW w:w="198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left"/>
              <w:rPr>
                <w:rFonts w:ascii="楷体_GB2312" w:hAnsi="Times New Roman" w:eastAsia="楷体_GB2312" w:cs="Times New Roman"/>
                <w:bCs/>
                <w:sz w:val="24"/>
                <w:szCs w:val="24"/>
              </w:rPr>
            </w:pPr>
            <w:r>
              <w:rPr>
                <w:rFonts w:hint="eastAsia" w:ascii="楷体_GB2312" w:hAnsi="Times New Roman" w:eastAsia="楷体_GB2312" w:cs="Times New Roman"/>
                <w:bCs/>
                <w:sz w:val="24"/>
                <w:szCs w:val="24"/>
              </w:rPr>
              <w:t>主要担任课程</w:t>
            </w:r>
          </w:p>
        </w:tc>
        <w:tc>
          <w:tcPr>
            <w:tcW w:w="34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楷体_GB2312" w:hAnsi="Times New Roman" w:eastAsia="楷体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left"/>
              <w:rPr>
                <w:rFonts w:ascii="楷体_GB2312" w:hAnsi="宋体" w:eastAsia="楷体_GB2312" w:cs="Times New Roman"/>
                <w:bCs/>
                <w:sz w:val="24"/>
                <w:szCs w:val="24"/>
              </w:rPr>
            </w:pPr>
            <w:r>
              <w:rPr>
                <w:rFonts w:hint="eastAsia" w:ascii="楷体_GB2312" w:hAnsi="Times New Roman" w:eastAsia="楷体_GB2312" w:cs="Times New Roman"/>
                <w:bCs/>
                <w:sz w:val="24"/>
                <w:szCs w:val="24"/>
              </w:rPr>
              <w:t>本校任教年限</w:t>
            </w:r>
          </w:p>
        </w:tc>
        <w:tc>
          <w:tcPr>
            <w:tcW w:w="1417" w:type="dxa"/>
            <w:gridSpan w:val="2"/>
            <w:tcBorders>
              <w:top w:val="single" w:color="auto" w:sz="4" w:space="0"/>
              <w:left w:val="single" w:color="auto" w:sz="4" w:space="0"/>
              <w:bottom w:val="single" w:color="auto" w:sz="4" w:space="0"/>
              <w:right w:val="single" w:color="auto" w:sz="4" w:space="0"/>
            </w:tcBorders>
            <w:noWrap w:val="0"/>
            <w:vAlign w:val="center"/>
          </w:tcPr>
          <w:p>
            <w:pPr>
              <w:wordWrap w:val="0"/>
              <w:adjustRightInd w:val="0"/>
              <w:snapToGrid w:val="0"/>
              <w:spacing w:line="300" w:lineRule="auto"/>
              <w:jc w:val="left"/>
              <w:rPr>
                <w:rFonts w:ascii="楷体_GB2312" w:hAnsi="Times New Roman" w:eastAsia="楷体_GB2312" w:cs="Times New Roman"/>
                <w:bCs/>
                <w:sz w:val="24"/>
                <w:szCs w:val="24"/>
              </w:rPr>
            </w:pPr>
          </w:p>
        </w:tc>
        <w:tc>
          <w:tcPr>
            <w:tcW w:w="198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left"/>
              <w:rPr>
                <w:rFonts w:hint="eastAsia" w:ascii="楷体_GB2312" w:hAnsi="宋体" w:eastAsia="楷体_GB2312" w:cs="Times New Roman"/>
                <w:bCs/>
                <w:sz w:val="24"/>
                <w:szCs w:val="24"/>
              </w:rPr>
            </w:pPr>
            <w:r>
              <w:rPr>
                <w:rFonts w:hint="eastAsia" w:ascii="楷体_GB2312" w:hAnsi="宋体" w:eastAsia="楷体_GB2312" w:cs="Times New Roman"/>
                <w:bCs/>
                <w:sz w:val="24"/>
                <w:szCs w:val="24"/>
              </w:rPr>
              <w:t>研究领域</w:t>
            </w:r>
          </w:p>
        </w:tc>
        <w:tc>
          <w:tcPr>
            <w:tcW w:w="3451"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rFonts w:ascii="楷体_GB2312" w:hAnsi="Times New Roman" w:eastAsia="楷体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atLeast"/>
          <w:jc w:val="center"/>
        </w:trPr>
        <w:tc>
          <w:tcPr>
            <w:tcW w:w="8522" w:type="dxa"/>
            <w:gridSpan w:val="8"/>
            <w:tcBorders>
              <w:top w:val="single" w:color="auto" w:sz="4" w:space="0"/>
              <w:left w:val="single" w:color="auto" w:sz="4" w:space="0"/>
              <w:right w:val="single" w:color="auto" w:sz="4" w:space="0"/>
            </w:tcBorders>
            <w:noWrap w:val="0"/>
            <w:vAlign w:val="center"/>
          </w:tcPr>
          <w:p>
            <w:pPr>
              <w:adjustRightInd w:val="0"/>
              <w:snapToGrid w:val="0"/>
              <w:spacing w:line="300" w:lineRule="auto"/>
              <w:rPr>
                <w:rFonts w:hint="eastAsia" w:ascii="楷体_GB2312" w:hAnsi="宋体" w:eastAsia="楷体_GB2312" w:cs="Times New Roman"/>
                <w:b/>
                <w:bCs/>
                <w:sz w:val="24"/>
                <w:szCs w:val="24"/>
              </w:rPr>
            </w:pPr>
            <w:r>
              <w:rPr>
                <w:rFonts w:hint="eastAsia" w:ascii="楷体_GB2312" w:hAnsi="宋体" w:eastAsia="楷体_GB2312" w:cs="Times New Roman"/>
                <w:b/>
                <w:bCs/>
                <w:sz w:val="24"/>
                <w:szCs w:val="24"/>
              </w:rPr>
              <w:t>培养计划内容：</w:t>
            </w:r>
          </w:p>
          <w:p>
            <w:pPr>
              <w:adjustRightInd w:val="0"/>
              <w:snapToGrid w:val="0"/>
              <w:spacing w:line="300" w:lineRule="auto"/>
              <w:rPr>
                <w:rFonts w:hint="eastAsia" w:ascii="楷体_GB2312" w:hAnsi="宋体" w:eastAsia="楷体_GB2312" w:cs="Times New Roman"/>
                <w:b/>
                <w:bCs/>
                <w:sz w:val="24"/>
                <w:szCs w:val="24"/>
              </w:rPr>
            </w:pPr>
            <w:r>
              <w:rPr>
                <w:rFonts w:hint="eastAsia" w:ascii="楷体_GB2312" w:hAnsi="宋体" w:eastAsia="楷体_GB2312" w:cs="Times New Roman"/>
                <w:b/>
                <w:bCs/>
                <w:sz w:val="24"/>
                <w:szCs w:val="24"/>
              </w:rPr>
              <w:t>（一）培养对象拟完成的助讲培养工作</w:t>
            </w:r>
            <w:r>
              <w:rPr>
                <w:rFonts w:hint="eastAsia" w:ascii="楷体_GB2312" w:hAnsi="宋体" w:eastAsia="楷体_GB2312" w:cs="Times New Roman"/>
                <w:bCs/>
                <w:sz w:val="24"/>
                <w:szCs w:val="24"/>
              </w:rPr>
              <w:t>（由青年教师</w:t>
            </w:r>
            <w:r>
              <w:rPr>
                <w:rFonts w:ascii="楷体_GB2312" w:hAnsi="宋体" w:eastAsia="楷体_GB2312" w:cs="Times New Roman"/>
                <w:bCs/>
                <w:sz w:val="24"/>
                <w:szCs w:val="24"/>
              </w:rPr>
              <w:t>填写</w:t>
            </w:r>
            <w:r>
              <w:rPr>
                <w:rFonts w:ascii="楷体_GB2312" w:hAnsi="宋体" w:eastAsia="楷体_GB2312" w:cs="Times New Roman"/>
                <w:b/>
                <w:bCs/>
                <w:sz w:val="24"/>
                <w:szCs w:val="24"/>
              </w:rPr>
              <w:t>）</w:t>
            </w:r>
          </w:p>
          <w:p>
            <w:pPr>
              <w:adjustRightInd w:val="0"/>
              <w:snapToGrid w:val="0"/>
              <w:spacing w:line="300" w:lineRule="auto"/>
              <w:rPr>
                <w:rFonts w:hint="eastAsia" w:ascii="楷体_GB2312" w:hAnsi="宋体" w:eastAsia="楷体_GB2312" w:cs="Times New Roman"/>
                <w:bCs/>
                <w:sz w:val="24"/>
                <w:szCs w:val="24"/>
              </w:rPr>
            </w:pPr>
            <w:r>
              <w:rPr>
                <w:rFonts w:hint="eastAsia" w:ascii="楷体_GB2312" w:hAnsi="宋体" w:eastAsia="楷体_GB2312" w:cs="Times New Roman"/>
                <w:bCs/>
                <w:sz w:val="24"/>
                <w:szCs w:val="24"/>
              </w:rPr>
              <w:t>（按照以下6项内容逐项填写，每项</w:t>
            </w:r>
            <w:r>
              <w:rPr>
                <w:rFonts w:ascii="楷体_GB2312" w:hAnsi="宋体" w:eastAsia="楷体_GB2312" w:cs="Times New Roman"/>
                <w:bCs/>
                <w:sz w:val="24"/>
                <w:szCs w:val="24"/>
              </w:rPr>
              <w:t>计划</w:t>
            </w:r>
            <w:r>
              <w:rPr>
                <w:rFonts w:hint="eastAsia" w:ascii="楷体_GB2312" w:hAnsi="宋体" w:eastAsia="楷体_GB2312" w:cs="Times New Roman"/>
                <w:bCs/>
                <w:sz w:val="24"/>
                <w:szCs w:val="24"/>
              </w:rPr>
              <w:t>请写清楚内容及其</w:t>
            </w:r>
            <w:r>
              <w:rPr>
                <w:rFonts w:ascii="楷体_GB2312" w:hAnsi="宋体" w:eastAsia="楷体_GB2312" w:cs="Times New Roman"/>
                <w:bCs/>
                <w:sz w:val="24"/>
                <w:szCs w:val="24"/>
              </w:rPr>
              <w:t>开始和结束</w:t>
            </w:r>
            <w:r>
              <w:rPr>
                <w:rFonts w:hint="eastAsia" w:ascii="楷体_GB2312" w:hAnsi="宋体" w:eastAsia="楷体_GB2312" w:cs="Times New Roman"/>
                <w:bCs/>
                <w:sz w:val="24"/>
                <w:szCs w:val="24"/>
              </w:rPr>
              <w:t>时间等</w:t>
            </w:r>
            <w:r>
              <w:rPr>
                <w:rFonts w:ascii="楷体_GB2312" w:hAnsi="宋体" w:eastAsia="楷体_GB2312" w:cs="Times New Roman"/>
                <w:bCs/>
                <w:sz w:val="24"/>
                <w:szCs w:val="24"/>
              </w:rPr>
              <w:t>）</w:t>
            </w:r>
          </w:p>
          <w:p>
            <w:pPr>
              <w:adjustRightInd w:val="0"/>
              <w:snapToGrid w:val="0"/>
              <w:spacing w:line="300" w:lineRule="auto"/>
              <w:rPr>
                <w:rFonts w:hint="eastAsia" w:ascii="楷体_GB2312" w:hAnsi="宋体" w:eastAsia="楷体_GB2312" w:cs="Times New Roman"/>
                <w:bCs/>
                <w:sz w:val="24"/>
                <w:szCs w:val="24"/>
              </w:rPr>
            </w:pPr>
            <w:r>
              <w:rPr>
                <w:rFonts w:hint="eastAsia" w:ascii="楷体_GB2312" w:hAnsi="宋体" w:eastAsia="楷体_GB2312" w:cs="Times New Roman"/>
                <w:bCs/>
                <w:sz w:val="24"/>
                <w:szCs w:val="24"/>
              </w:rPr>
              <w:t>1.参加岗前培训计划（省教育厅组织）；</w:t>
            </w:r>
          </w:p>
          <w:p>
            <w:pPr>
              <w:adjustRightInd w:val="0"/>
              <w:snapToGrid w:val="0"/>
              <w:spacing w:line="300" w:lineRule="auto"/>
              <w:rPr>
                <w:rFonts w:hint="eastAsia" w:ascii="楷体_GB2312" w:hAnsi="宋体" w:eastAsia="楷体_GB2312" w:cs="Times New Roman"/>
                <w:bCs/>
                <w:sz w:val="24"/>
                <w:szCs w:val="24"/>
              </w:rPr>
            </w:pPr>
            <w:r>
              <w:rPr>
                <w:rFonts w:hint="eastAsia" w:ascii="楷体_GB2312" w:hAnsi="宋体" w:eastAsia="楷体_GB2312" w:cs="Times New Roman"/>
                <w:bCs/>
                <w:sz w:val="24"/>
                <w:szCs w:val="24"/>
              </w:rPr>
              <w:t>2.参加教学研讨、观摩活动和科研学术活动计划；</w:t>
            </w:r>
          </w:p>
          <w:p>
            <w:pPr>
              <w:adjustRightInd w:val="0"/>
              <w:snapToGrid w:val="0"/>
              <w:spacing w:line="300" w:lineRule="auto"/>
              <w:rPr>
                <w:rFonts w:hint="eastAsia" w:ascii="楷体_GB2312" w:hAnsi="宋体" w:eastAsia="楷体_GB2312" w:cs="Times New Roman"/>
                <w:bCs/>
                <w:sz w:val="24"/>
                <w:szCs w:val="24"/>
              </w:rPr>
            </w:pPr>
            <w:r>
              <w:rPr>
                <w:rFonts w:hint="eastAsia" w:ascii="楷体_GB2312" w:hAnsi="宋体" w:eastAsia="楷体_GB2312" w:cs="Times New Roman"/>
                <w:bCs/>
                <w:sz w:val="24"/>
                <w:szCs w:val="24"/>
              </w:rPr>
              <w:t>3.计划承担的教学辅助环节工作（如辅导、答疑、批改作业、讲解习题课等）；4.试讲计划</w:t>
            </w:r>
            <w:r>
              <w:rPr>
                <w:rFonts w:ascii="楷体_GB2312" w:hAnsi="宋体" w:eastAsia="楷体_GB2312" w:cs="Times New Roman"/>
                <w:bCs/>
                <w:sz w:val="24"/>
                <w:szCs w:val="24"/>
              </w:rPr>
              <w:t>（</w:t>
            </w:r>
            <w:r>
              <w:rPr>
                <w:rFonts w:hint="eastAsia" w:ascii="楷体_GB2312" w:hAnsi="宋体" w:eastAsia="楷体_GB2312" w:cs="Times New Roman"/>
                <w:bCs/>
                <w:sz w:val="24"/>
                <w:szCs w:val="24"/>
              </w:rPr>
              <w:t>试讲课时不超过4课时，含教学过关考核课时）</w:t>
            </w:r>
          </w:p>
          <w:p>
            <w:pPr>
              <w:adjustRightInd w:val="0"/>
              <w:snapToGrid w:val="0"/>
              <w:spacing w:line="300" w:lineRule="auto"/>
              <w:rPr>
                <w:rFonts w:hint="eastAsia" w:ascii="楷体_GB2312" w:hAnsi="宋体" w:eastAsia="楷体_GB2312" w:cs="Times New Roman"/>
                <w:bCs/>
                <w:sz w:val="24"/>
                <w:szCs w:val="24"/>
              </w:rPr>
            </w:pPr>
            <w:r>
              <w:rPr>
                <w:rFonts w:hint="eastAsia" w:ascii="楷体_GB2312" w:hAnsi="宋体" w:eastAsia="楷体_GB2312" w:cs="Times New Roman"/>
                <w:bCs/>
                <w:sz w:val="24"/>
                <w:szCs w:val="24"/>
              </w:rPr>
              <w:t>5.跟听指导</w:t>
            </w:r>
            <w:r>
              <w:rPr>
                <w:rFonts w:ascii="楷体_GB2312" w:hAnsi="宋体" w:eastAsia="楷体_GB2312" w:cs="Times New Roman"/>
                <w:bCs/>
                <w:sz w:val="24"/>
                <w:szCs w:val="24"/>
              </w:rPr>
              <w:t>教师</w:t>
            </w:r>
            <w:r>
              <w:rPr>
                <w:rFonts w:hint="eastAsia" w:ascii="楷体_GB2312" w:hAnsi="宋体" w:eastAsia="楷体_GB2312" w:cs="Times New Roman"/>
                <w:bCs/>
                <w:sz w:val="24"/>
                <w:szCs w:val="24"/>
              </w:rPr>
              <w:t>所授课程的计划</w:t>
            </w:r>
            <w:r>
              <w:rPr>
                <w:rFonts w:ascii="楷体_GB2312" w:hAnsi="宋体" w:eastAsia="楷体_GB2312" w:cs="Times New Roman"/>
                <w:bCs/>
                <w:sz w:val="24"/>
                <w:szCs w:val="24"/>
              </w:rPr>
              <w:t>（</w:t>
            </w:r>
            <w:r>
              <w:rPr>
                <w:rFonts w:hint="eastAsia" w:ascii="楷体_GB2312" w:hAnsi="宋体" w:eastAsia="楷体_GB2312" w:cs="Times New Roman"/>
                <w:bCs/>
                <w:sz w:val="24"/>
                <w:szCs w:val="24"/>
              </w:rPr>
              <w:t>含</w:t>
            </w:r>
            <w:r>
              <w:rPr>
                <w:rFonts w:ascii="楷体_GB2312" w:hAnsi="宋体" w:eastAsia="楷体_GB2312" w:cs="Times New Roman"/>
                <w:bCs/>
                <w:sz w:val="24"/>
                <w:szCs w:val="24"/>
              </w:rPr>
              <w:t>课程</w:t>
            </w:r>
            <w:r>
              <w:rPr>
                <w:rFonts w:hint="eastAsia" w:ascii="楷体_GB2312" w:hAnsi="宋体" w:eastAsia="楷体_GB2312" w:cs="Times New Roman"/>
                <w:bCs/>
                <w:sz w:val="24"/>
                <w:szCs w:val="24"/>
              </w:rPr>
              <w:t>名称、时间、</w:t>
            </w:r>
            <w:r>
              <w:rPr>
                <w:rFonts w:ascii="楷体_GB2312" w:hAnsi="宋体" w:eastAsia="楷体_GB2312" w:cs="Times New Roman"/>
                <w:bCs/>
                <w:sz w:val="24"/>
                <w:szCs w:val="24"/>
              </w:rPr>
              <w:t>地点、</w:t>
            </w:r>
            <w:r>
              <w:rPr>
                <w:rFonts w:hint="eastAsia" w:ascii="楷体_GB2312" w:hAnsi="宋体" w:eastAsia="楷体_GB2312" w:cs="Times New Roman"/>
                <w:bCs/>
                <w:sz w:val="24"/>
                <w:szCs w:val="24"/>
              </w:rPr>
              <w:t>内容、班级</w:t>
            </w:r>
            <w:r>
              <w:rPr>
                <w:rFonts w:ascii="楷体_GB2312" w:hAnsi="宋体" w:eastAsia="楷体_GB2312" w:cs="Times New Roman"/>
                <w:bCs/>
                <w:sz w:val="24"/>
                <w:szCs w:val="24"/>
              </w:rPr>
              <w:t>等）</w:t>
            </w:r>
          </w:p>
          <w:p>
            <w:pPr>
              <w:adjustRightInd w:val="0"/>
              <w:snapToGrid w:val="0"/>
              <w:spacing w:line="300" w:lineRule="auto"/>
              <w:rPr>
                <w:rFonts w:hint="eastAsia" w:ascii="楷体_GB2312" w:hAnsi="宋体" w:eastAsia="楷体_GB2312" w:cs="Times New Roman"/>
                <w:bCs/>
                <w:sz w:val="24"/>
                <w:szCs w:val="24"/>
              </w:rPr>
            </w:pPr>
            <w:r>
              <w:rPr>
                <w:rFonts w:hint="eastAsia" w:ascii="楷体_GB2312" w:hAnsi="宋体" w:eastAsia="楷体_GB2312" w:cs="Times New Roman"/>
                <w:bCs/>
                <w:sz w:val="24"/>
                <w:szCs w:val="24"/>
              </w:rPr>
              <w:t>6.接受指导教师其他方面指导的计划</w:t>
            </w:r>
          </w:p>
          <w:p>
            <w:pPr>
              <w:adjustRightInd w:val="0"/>
              <w:snapToGrid w:val="0"/>
              <w:spacing w:line="300" w:lineRule="auto"/>
              <w:rPr>
                <w:rFonts w:hint="eastAsia" w:ascii="楷体_GB2312" w:hAnsi="宋体" w:eastAsia="楷体_GB2312" w:cs="Times New Roman"/>
                <w:bCs/>
                <w:sz w:val="24"/>
                <w:szCs w:val="24"/>
              </w:rPr>
            </w:pPr>
          </w:p>
          <w:p>
            <w:pPr>
              <w:adjustRightInd w:val="0"/>
              <w:snapToGrid w:val="0"/>
              <w:spacing w:line="300" w:lineRule="auto"/>
              <w:rPr>
                <w:rFonts w:hint="eastAsia" w:ascii="楷体_GB2312" w:hAnsi="宋体" w:eastAsia="楷体_GB2312" w:cs="Times New Roman"/>
                <w:bCs/>
                <w:sz w:val="24"/>
                <w:szCs w:val="24"/>
              </w:rPr>
            </w:pPr>
          </w:p>
          <w:p>
            <w:pPr>
              <w:adjustRightInd w:val="0"/>
              <w:snapToGrid w:val="0"/>
              <w:spacing w:line="300" w:lineRule="auto"/>
              <w:rPr>
                <w:rFonts w:hint="eastAsia" w:ascii="楷体_GB2312" w:hAnsi="宋体" w:eastAsia="楷体_GB2312" w:cs="Times New Roman"/>
                <w:bCs/>
                <w:sz w:val="24"/>
                <w:szCs w:val="24"/>
              </w:rPr>
            </w:pPr>
          </w:p>
          <w:p>
            <w:pPr>
              <w:adjustRightInd w:val="0"/>
              <w:snapToGrid w:val="0"/>
              <w:spacing w:line="300" w:lineRule="auto"/>
              <w:rPr>
                <w:rFonts w:hint="eastAsia" w:ascii="楷体_GB2312" w:hAnsi="宋体" w:eastAsia="楷体_GB2312" w:cs="Times New Roman"/>
                <w:bCs/>
                <w:sz w:val="24"/>
                <w:szCs w:val="24"/>
              </w:rPr>
            </w:pPr>
          </w:p>
          <w:p>
            <w:pPr>
              <w:adjustRightInd w:val="0"/>
              <w:snapToGrid w:val="0"/>
              <w:spacing w:line="300" w:lineRule="auto"/>
              <w:rPr>
                <w:rFonts w:hint="eastAsia" w:ascii="楷体_GB2312" w:hAnsi="宋体" w:eastAsia="楷体_GB2312" w:cs="Times New Roman"/>
                <w:bCs/>
                <w:sz w:val="24"/>
                <w:szCs w:val="24"/>
              </w:rPr>
            </w:pPr>
          </w:p>
          <w:p>
            <w:pPr>
              <w:adjustRightInd w:val="0"/>
              <w:snapToGrid w:val="0"/>
              <w:spacing w:line="300" w:lineRule="auto"/>
              <w:rPr>
                <w:rFonts w:hint="eastAsia" w:ascii="楷体_GB2312" w:hAnsi="宋体" w:eastAsia="楷体_GB2312" w:cs="Times New Roman"/>
                <w:bCs/>
                <w:sz w:val="24"/>
                <w:szCs w:val="24"/>
              </w:rPr>
            </w:pPr>
          </w:p>
          <w:p>
            <w:pPr>
              <w:adjustRightInd w:val="0"/>
              <w:snapToGrid w:val="0"/>
              <w:spacing w:line="300" w:lineRule="auto"/>
              <w:rPr>
                <w:rFonts w:hint="eastAsia" w:ascii="楷体_GB2312" w:hAnsi="宋体" w:eastAsia="楷体_GB2312" w:cs="Times New Roman"/>
                <w:bCs/>
                <w:sz w:val="24"/>
                <w:szCs w:val="24"/>
              </w:rPr>
            </w:pPr>
          </w:p>
          <w:p>
            <w:pPr>
              <w:adjustRightInd w:val="0"/>
              <w:snapToGrid w:val="0"/>
              <w:spacing w:line="300" w:lineRule="auto"/>
              <w:rPr>
                <w:rFonts w:ascii="楷体_GB2312" w:hAnsi="宋体" w:eastAsia="楷体_GB2312" w:cs="Times New Roman"/>
                <w:bCs/>
                <w:sz w:val="24"/>
                <w:szCs w:val="24"/>
              </w:rPr>
            </w:pPr>
          </w:p>
          <w:p>
            <w:pPr>
              <w:adjustRightInd w:val="0"/>
              <w:snapToGrid w:val="0"/>
              <w:spacing w:line="300" w:lineRule="auto"/>
              <w:rPr>
                <w:rFonts w:ascii="楷体_GB2312" w:hAnsi="宋体" w:eastAsia="楷体_GB2312" w:cs="Times New Roman"/>
                <w:bCs/>
                <w:sz w:val="24"/>
                <w:szCs w:val="24"/>
              </w:rPr>
            </w:pPr>
          </w:p>
          <w:p>
            <w:pPr>
              <w:adjustRightInd w:val="0"/>
              <w:snapToGrid w:val="0"/>
              <w:spacing w:line="300" w:lineRule="auto"/>
              <w:rPr>
                <w:rFonts w:hint="eastAsia" w:ascii="楷体_GB2312" w:hAnsi="宋体" w:eastAsia="楷体_GB2312" w:cs="Times New Roman"/>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04" w:hRule="atLeast"/>
          <w:jc w:val="center"/>
        </w:trPr>
        <w:tc>
          <w:tcPr>
            <w:tcW w:w="8522" w:type="dxa"/>
            <w:gridSpan w:val="8"/>
            <w:tcBorders>
              <w:top w:val="single" w:color="auto" w:sz="4" w:space="0"/>
              <w:left w:val="single" w:color="auto" w:sz="4" w:space="0"/>
              <w:right w:val="single" w:color="auto" w:sz="4" w:space="0"/>
            </w:tcBorders>
            <w:noWrap w:val="0"/>
            <w:vAlign w:val="top"/>
          </w:tcPr>
          <w:p>
            <w:pPr>
              <w:adjustRightInd w:val="0"/>
              <w:snapToGrid w:val="0"/>
              <w:spacing w:line="300" w:lineRule="auto"/>
              <w:rPr>
                <w:rFonts w:hint="eastAsia" w:ascii="楷体_GB2312" w:hAnsi="宋体" w:eastAsia="楷体_GB2312" w:cs="Times New Roman"/>
                <w:bCs/>
                <w:sz w:val="24"/>
                <w:szCs w:val="24"/>
              </w:rPr>
            </w:pPr>
            <w:r>
              <w:rPr>
                <w:rFonts w:hint="eastAsia" w:ascii="楷体_GB2312" w:hAnsi="宋体" w:eastAsia="楷体_GB2312" w:cs="Times New Roman"/>
                <w:b/>
                <w:bCs/>
                <w:sz w:val="24"/>
                <w:szCs w:val="24"/>
              </w:rPr>
              <w:t>（二）指导教师拟完成的指导工作</w:t>
            </w:r>
            <w:r>
              <w:rPr>
                <w:rFonts w:hint="eastAsia" w:ascii="楷体_GB2312" w:hAnsi="宋体" w:eastAsia="楷体_GB2312" w:cs="Times New Roman"/>
                <w:bCs/>
                <w:sz w:val="24"/>
                <w:szCs w:val="24"/>
              </w:rPr>
              <w:t>（由青年</w:t>
            </w:r>
            <w:r>
              <w:rPr>
                <w:rFonts w:ascii="楷体_GB2312" w:hAnsi="宋体" w:eastAsia="楷体_GB2312" w:cs="Times New Roman"/>
                <w:bCs/>
                <w:sz w:val="24"/>
                <w:szCs w:val="24"/>
              </w:rPr>
              <w:t>教师与指导教师协商确定）</w:t>
            </w:r>
          </w:p>
          <w:p>
            <w:pPr>
              <w:adjustRightInd w:val="0"/>
              <w:snapToGrid w:val="0"/>
              <w:spacing w:line="300" w:lineRule="auto"/>
              <w:rPr>
                <w:rFonts w:hint="eastAsia" w:ascii="楷体_GB2312" w:hAnsi="宋体" w:eastAsia="楷体_GB2312" w:cs="Times New Roman"/>
                <w:b/>
                <w:bCs/>
                <w:sz w:val="24"/>
                <w:szCs w:val="24"/>
              </w:rPr>
            </w:pPr>
            <w:r>
              <w:rPr>
                <w:rFonts w:hint="eastAsia" w:ascii="楷体_GB2312" w:hAnsi="宋体" w:eastAsia="楷体_GB2312" w:cs="Times New Roman"/>
                <w:bCs/>
                <w:sz w:val="24"/>
                <w:szCs w:val="24"/>
              </w:rPr>
              <w:t>（按照以下6项内容逐项填写，每项</w:t>
            </w:r>
            <w:r>
              <w:rPr>
                <w:rFonts w:ascii="楷体_GB2312" w:hAnsi="宋体" w:eastAsia="楷体_GB2312" w:cs="Times New Roman"/>
                <w:bCs/>
                <w:sz w:val="24"/>
                <w:szCs w:val="24"/>
              </w:rPr>
              <w:t>计划</w:t>
            </w:r>
            <w:r>
              <w:rPr>
                <w:rFonts w:hint="eastAsia" w:ascii="楷体_GB2312" w:hAnsi="宋体" w:eastAsia="楷体_GB2312" w:cs="Times New Roman"/>
                <w:bCs/>
                <w:sz w:val="24"/>
                <w:szCs w:val="24"/>
              </w:rPr>
              <w:t>请写清楚内容及其</w:t>
            </w:r>
            <w:r>
              <w:rPr>
                <w:rFonts w:ascii="楷体_GB2312" w:hAnsi="宋体" w:eastAsia="楷体_GB2312" w:cs="Times New Roman"/>
                <w:bCs/>
                <w:sz w:val="24"/>
                <w:szCs w:val="24"/>
              </w:rPr>
              <w:t>开始和结束</w:t>
            </w:r>
            <w:r>
              <w:rPr>
                <w:rFonts w:hint="eastAsia" w:ascii="楷体_GB2312" w:hAnsi="宋体" w:eastAsia="楷体_GB2312" w:cs="Times New Roman"/>
                <w:bCs/>
                <w:sz w:val="24"/>
                <w:szCs w:val="24"/>
              </w:rPr>
              <w:t>时间等</w:t>
            </w:r>
            <w:r>
              <w:rPr>
                <w:rFonts w:ascii="楷体_GB2312" w:hAnsi="宋体" w:eastAsia="楷体_GB2312" w:cs="Times New Roman"/>
                <w:bCs/>
                <w:sz w:val="24"/>
                <w:szCs w:val="24"/>
              </w:rPr>
              <w:t>）</w:t>
            </w:r>
          </w:p>
          <w:p>
            <w:pPr>
              <w:adjustRightInd w:val="0"/>
              <w:snapToGrid w:val="0"/>
              <w:spacing w:line="300" w:lineRule="auto"/>
              <w:rPr>
                <w:rFonts w:hint="eastAsia" w:ascii="楷体_GB2312" w:hAnsi="宋体" w:eastAsia="楷体_GB2312" w:cs="Times New Roman"/>
                <w:bCs/>
                <w:sz w:val="24"/>
                <w:szCs w:val="24"/>
              </w:rPr>
            </w:pPr>
            <w:r>
              <w:rPr>
                <w:rFonts w:hint="eastAsia" w:ascii="楷体_GB2312" w:hAnsi="宋体" w:eastAsia="楷体_GB2312" w:cs="Times New Roman"/>
                <w:bCs/>
                <w:sz w:val="24"/>
                <w:szCs w:val="24"/>
              </w:rPr>
              <w:t>1.指导</w:t>
            </w:r>
            <w:r>
              <w:rPr>
                <w:rFonts w:ascii="楷体_GB2312" w:hAnsi="宋体" w:eastAsia="楷体_GB2312" w:cs="Times New Roman"/>
                <w:bCs/>
                <w:sz w:val="24"/>
                <w:szCs w:val="24"/>
              </w:rPr>
              <w:t>教师</w:t>
            </w:r>
            <w:r>
              <w:rPr>
                <w:rFonts w:hint="eastAsia" w:ascii="楷体_GB2312" w:hAnsi="宋体" w:eastAsia="楷体_GB2312" w:cs="Times New Roman"/>
                <w:bCs/>
                <w:sz w:val="24"/>
                <w:szCs w:val="24"/>
              </w:rPr>
              <w:t>对</w:t>
            </w:r>
            <w:r>
              <w:rPr>
                <w:rFonts w:ascii="楷体_GB2312" w:hAnsi="宋体" w:eastAsia="楷体_GB2312" w:cs="Times New Roman"/>
                <w:bCs/>
                <w:sz w:val="24"/>
                <w:szCs w:val="24"/>
              </w:rPr>
              <w:t>青年教师</w:t>
            </w:r>
            <w:r>
              <w:rPr>
                <w:rFonts w:hint="eastAsia" w:ascii="楷体_GB2312" w:hAnsi="宋体" w:eastAsia="楷体_GB2312" w:cs="Times New Roman"/>
                <w:bCs/>
                <w:sz w:val="24"/>
                <w:szCs w:val="24"/>
              </w:rPr>
              <w:t>的师德修养和职业生涯规划</w:t>
            </w:r>
            <w:r>
              <w:rPr>
                <w:rFonts w:ascii="楷体_GB2312" w:hAnsi="宋体" w:eastAsia="楷体_GB2312" w:cs="Times New Roman"/>
                <w:bCs/>
                <w:sz w:val="24"/>
                <w:szCs w:val="24"/>
              </w:rPr>
              <w:t>的指导计划</w:t>
            </w:r>
          </w:p>
          <w:p>
            <w:pPr>
              <w:adjustRightInd w:val="0"/>
              <w:snapToGrid w:val="0"/>
              <w:spacing w:line="300" w:lineRule="auto"/>
              <w:rPr>
                <w:rFonts w:hint="eastAsia" w:ascii="楷体_GB2312" w:hAnsi="宋体" w:eastAsia="楷体_GB2312" w:cs="Times New Roman"/>
                <w:bCs/>
                <w:sz w:val="24"/>
                <w:szCs w:val="24"/>
              </w:rPr>
            </w:pPr>
            <w:r>
              <w:rPr>
                <w:rFonts w:hint="eastAsia" w:ascii="楷体_GB2312" w:hAnsi="宋体" w:eastAsia="楷体_GB2312" w:cs="Times New Roman"/>
                <w:bCs/>
                <w:sz w:val="24"/>
                <w:szCs w:val="24"/>
              </w:rPr>
              <w:t>2.对</w:t>
            </w:r>
            <w:r>
              <w:rPr>
                <w:rFonts w:ascii="楷体_GB2312" w:hAnsi="宋体" w:eastAsia="楷体_GB2312" w:cs="Times New Roman"/>
                <w:bCs/>
                <w:sz w:val="24"/>
                <w:szCs w:val="24"/>
              </w:rPr>
              <w:t>青年教师</w:t>
            </w:r>
            <w:r>
              <w:rPr>
                <w:rFonts w:hint="eastAsia" w:ascii="楷体_GB2312" w:hAnsi="宋体" w:eastAsia="楷体_GB2312" w:cs="Times New Roman"/>
                <w:bCs/>
                <w:sz w:val="24"/>
                <w:szCs w:val="24"/>
              </w:rPr>
              <w:t>的教学基本技能训练</w:t>
            </w:r>
            <w:r>
              <w:rPr>
                <w:rFonts w:ascii="楷体_GB2312" w:hAnsi="宋体" w:eastAsia="楷体_GB2312" w:cs="Times New Roman"/>
                <w:bCs/>
                <w:sz w:val="24"/>
                <w:szCs w:val="24"/>
              </w:rPr>
              <w:t>计划</w:t>
            </w:r>
            <w:r>
              <w:rPr>
                <w:rFonts w:hint="eastAsia" w:ascii="楷体_GB2312" w:hAnsi="宋体" w:eastAsia="楷体_GB2312" w:cs="Times New Roman"/>
                <w:bCs/>
                <w:sz w:val="24"/>
                <w:szCs w:val="24"/>
              </w:rPr>
              <w:t>（含训练</w:t>
            </w:r>
            <w:r>
              <w:rPr>
                <w:rFonts w:ascii="楷体_GB2312" w:hAnsi="宋体" w:eastAsia="楷体_GB2312" w:cs="Times New Roman"/>
                <w:bCs/>
                <w:sz w:val="24"/>
                <w:szCs w:val="24"/>
              </w:rPr>
              <w:t>的内容，实施</w:t>
            </w:r>
            <w:r>
              <w:rPr>
                <w:rFonts w:hint="eastAsia" w:ascii="楷体_GB2312" w:hAnsi="宋体" w:eastAsia="楷体_GB2312" w:cs="Times New Roman"/>
                <w:bCs/>
                <w:sz w:val="24"/>
                <w:szCs w:val="24"/>
              </w:rPr>
              <w:t>的</w:t>
            </w:r>
            <w:r>
              <w:rPr>
                <w:rFonts w:ascii="楷体_GB2312" w:hAnsi="宋体" w:eastAsia="楷体_GB2312" w:cs="Times New Roman"/>
                <w:bCs/>
                <w:sz w:val="24"/>
                <w:szCs w:val="24"/>
              </w:rPr>
              <w:t>手段和步骤等）</w:t>
            </w:r>
          </w:p>
          <w:p>
            <w:pPr>
              <w:adjustRightInd w:val="0"/>
              <w:snapToGrid w:val="0"/>
              <w:spacing w:line="300" w:lineRule="auto"/>
              <w:rPr>
                <w:rFonts w:hint="eastAsia" w:ascii="楷体_GB2312" w:hAnsi="宋体" w:eastAsia="楷体_GB2312" w:cs="Times New Roman"/>
                <w:bCs/>
                <w:sz w:val="24"/>
                <w:szCs w:val="24"/>
              </w:rPr>
            </w:pPr>
            <w:r>
              <w:rPr>
                <w:rFonts w:ascii="楷体_GB2312" w:hAnsi="宋体" w:eastAsia="楷体_GB2312" w:cs="Times New Roman"/>
                <w:bCs/>
                <w:sz w:val="24"/>
                <w:szCs w:val="24"/>
              </w:rPr>
              <w:t>3</w:t>
            </w:r>
            <w:r>
              <w:rPr>
                <w:rFonts w:hint="eastAsia" w:ascii="楷体_GB2312" w:hAnsi="宋体" w:eastAsia="楷体_GB2312" w:cs="Times New Roman"/>
                <w:bCs/>
                <w:sz w:val="24"/>
                <w:szCs w:val="24"/>
              </w:rPr>
              <w:t>.对</w:t>
            </w:r>
            <w:r>
              <w:rPr>
                <w:rFonts w:ascii="楷体_GB2312" w:hAnsi="宋体" w:eastAsia="楷体_GB2312" w:cs="Times New Roman"/>
                <w:bCs/>
                <w:sz w:val="24"/>
                <w:szCs w:val="24"/>
              </w:rPr>
              <w:t>青年教师</w:t>
            </w:r>
            <w:r>
              <w:rPr>
                <w:rFonts w:hint="eastAsia" w:ascii="楷体_GB2312" w:hAnsi="宋体" w:eastAsia="楷体_GB2312" w:cs="Times New Roman"/>
                <w:bCs/>
                <w:sz w:val="24"/>
                <w:szCs w:val="24"/>
              </w:rPr>
              <w:t>教学准备工作</w:t>
            </w:r>
            <w:r>
              <w:rPr>
                <w:rFonts w:ascii="楷体_GB2312" w:hAnsi="宋体" w:eastAsia="楷体_GB2312" w:cs="Times New Roman"/>
                <w:bCs/>
                <w:sz w:val="24"/>
                <w:szCs w:val="24"/>
              </w:rPr>
              <w:t>的指导计划</w:t>
            </w:r>
            <w:r>
              <w:rPr>
                <w:rFonts w:hint="eastAsia" w:ascii="楷体_GB2312" w:hAnsi="宋体" w:eastAsia="楷体_GB2312" w:cs="Times New Roman"/>
                <w:bCs/>
                <w:sz w:val="24"/>
                <w:szCs w:val="24"/>
              </w:rPr>
              <w:t>（</w:t>
            </w:r>
            <w:r>
              <w:rPr>
                <w:rFonts w:ascii="楷体_GB2312" w:hAnsi="宋体" w:eastAsia="楷体_GB2312" w:cs="Times New Roman"/>
                <w:bCs/>
                <w:sz w:val="24"/>
                <w:szCs w:val="24"/>
              </w:rPr>
              <w:t>含</w:t>
            </w:r>
            <w:r>
              <w:rPr>
                <w:rFonts w:hint="eastAsia" w:ascii="楷体_GB2312" w:hAnsi="宋体" w:eastAsia="楷体_GB2312" w:cs="Times New Roman"/>
                <w:bCs/>
                <w:sz w:val="24"/>
                <w:szCs w:val="24"/>
              </w:rPr>
              <w:t>备课、编写教案或讲义、教学基本文件准备等</w:t>
            </w:r>
            <w:r>
              <w:rPr>
                <w:rFonts w:ascii="楷体_GB2312" w:hAnsi="宋体" w:eastAsia="楷体_GB2312" w:cs="Times New Roman"/>
                <w:bCs/>
                <w:sz w:val="24"/>
                <w:szCs w:val="24"/>
              </w:rPr>
              <w:t>）</w:t>
            </w:r>
          </w:p>
          <w:p>
            <w:pPr>
              <w:adjustRightInd w:val="0"/>
              <w:snapToGrid w:val="0"/>
              <w:spacing w:line="300" w:lineRule="auto"/>
              <w:rPr>
                <w:rFonts w:ascii="楷体_GB2312" w:hAnsi="宋体" w:eastAsia="楷体_GB2312" w:cs="Times New Roman"/>
                <w:bCs/>
                <w:sz w:val="24"/>
                <w:szCs w:val="24"/>
              </w:rPr>
            </w:pPr>
            <w:r>
              <w:rPr>
                <w:rFonts w:ascii="楷体_GB2312" w:hAnsi="宋体" w:eastAsia="楷体_GB2312" w:cs="Times New Roman"/>
                <w:bCs/>
                <w:sz w:val="24"/>
                <w:szCs w:val="24"/>
              </w:rPr>
              <w:t>4</w:t>
            </w:r>
            <w:r>
              <w:rPr>
                <w:rFonts w:hint="eastAsia" w:ascii="楷体_GB2312" w:hAnsi="宋体" w:eastAsia="楷体_GB2312" w:cs="Times New Roman"/>
                <w:bCs/>
                <w:sz w:val="24"/>
                <w:szCs w:val="24"/>
              </w:rPr>
              <w:t>.对</w:t>
            </w:r>
            <w:r>
              <w:rPr>
                <w:rFonts w:ascii="楷体_GB2312" w:hAnsi="宋体" w:eastAsia="楷体_GB2312" w:cs="Times New Roman"/>
                <w:bCs/>
                <w:sz w:val="24"/>
                <w:szCs w:val="24"/>
              </w:rPr>
              <w:t>青年教师</w:t>
            </w:r>
            <w:r>
              <w:rPr>
                <w:rFonts w:hint="eastAsia" w:ascii="楷体_GB2312" w:hAnsi="宋体" w:eastAsia="楷体_GB2312" w:cs="Times New Roman"/>
                <w:bCs/>
                <w:sz w:val="24"/>
                <w:szCs w:val="24"/>
              </w:rPr>
              <w:t>教学环节规范的</w:t>
            </w:r>
            <w:r>
              <w:rPr>
                <w:rFonts w:ascii="楷体_GB2312" w:hAnsi="宋体" w:eastAsia="楷体_GB2312" w:cs="Times New Roman"/>
                <w:bCs/>
                <w:sz w:val="24"/>
                <w:szCs w:val="24"/>
              </w:rPr>
              <w:t>指导计划（</w:t>
            </w:r>
            <w:r>
              <w:rPr>
                <w:rFonts w:hint="eastAsia" w:ascii="楷体_GB2312" w:hAnsi="宋体" w:eastAsia="楷体_GB2312" w:cs="Times New Roman"/>
                <w:bCs/>
                <w:sz w:val="24"/>
                <w:szCs w:val="24"/>
              </w:rPr>
              <w:t>如讲授、出卷、阅卷等）</w:t>
            </w:r>
          </w:p>
          <w:p>
            <w:pPr>
              <w:adjustRightInd w:val="0"/>
              <w:snapToGrid w:val="0"/>
              <w:spacing w:line="300" w:lineRule="auto"/>
              <w:rPr>
                <w:rFonts w:hint="eastAsia" w:ascii="楷体_GB2312" w:hAnsi="宋体" w:eastAsia="楷体_GB2312" w:cs="Times New Roman"/>
                <w:bCs/>
                <w:sz w:val="24"/>
                <w:szCs w:val="24"/>
              </w:rPr>
            </w:pPr>
            <w:r>
              <w:rPr>
                <w:rFonts w:ascii="楷体_GB2312" w:hAnsi="宋体" w:eastAsia="楷体_GB2312" w:cs="Times New Roman"/>
                <w:bCs/>
                <w:sz w:val="24"/>
                <w:szCs w:val="24"/>
              </w:rPr>
              <w:t>5</w:t>
            </w:r>
            <w:r>
              <w:rPr>
                <w:rFonts w:hint="eastAsia" w:ascii="楷体_GB2312" w:hAnsi="宋体" w:eastAsia="楷体_GB2312" w:cs="Times New Roman"/>
                <w:bCs/>
                <w:sz w:val="24"/>
                <w:szCs w:val="24"/>
              </w:rPr>
              <w:t>.对</w:t>
            </w:r>
            <w:r>
              <w:rPr>
                <w:rFonts w:ascii="楷体_GB2312" w:hAnsi="宋体" w:eastAsia="楷体_GB2312" w:cs="Times New Roman"/>
                <w:bCs/>
                <w:sz w:val="24"/>
                <w:szCs w:val="24"/>
              </w:rPr>
              <w:t>青年教师</w:t>
            </w:r>
            <w:r>
              <w:rPr>
                <w:rFonts w:hint="eastAsia" w:ascii="楷体_GB2312" w:hAnsi="宋体" w:eastAsia="楷体_GB2312" w:cs="Times New Roman"/>
                <w:bCs/>
                <w:sz w:val="24"/>
                <w:szCs w:val="24"/>
              </w:rPr>
              <w:t>试讲</w:t>
            </w:r>
            <w:r>
              <w:rPr>
                <w:rFonts w:ascii="楷体_GB2312" w:hAnsi="宋体" w:eastAsia="楷体_GB2312" w:cs="Times New Roman"/>
                <w:bCs/>
                <w:sz w:val="24"/>
                <w:szCs w:val="24"/>
              </w:rPr>
              <w:t>的指导计划</w:t>
            </w:r>
          </w:p>
          <w:p>
            <w:pPr>
              <w:adjustRightInd w:val="0"/>
              <w:snapToGrid w:val="0"/>
              <w:spacing w:line="300" w:lineRule="auto"/>
              <w:rPr>
                <w:rFonts w:ascii="楷体_GB2312" w:hAnsi="宋体" w:eastAsia="楷体_GB2312" w:cs="Times New Roman"/>
                <w:bCs/>
                <w:sz w:val="24"/>
                <w:szCs w:val="24"/>
              </w:rPr>
            </w:pPr>
            <w:r>
              <w:rPr>
                <w:rFonts w:ascii="楷体_GB2312" w:hAnsi="宋体" w:eastAsia="楷体_GB2312" w:cs="Times New Roman"/>
                <w:bCs/>
                <w:sz w:val="24"/>
                <w:szCs w:val="24"/>
              </w:rPr>
              <w:t>6</w:t>
            </w:r>
            <w:r>
              <w:rPr>
                <w:rFonts w:hint="eastAsia" w:ascii="楷体_GB2312" w:hAnsi="宋体" w:eastAsia="楷体_GB2312" w:cs="Times New Roman"/>
                <w:bCs/>
                <w:sz w:val="24"/>
                <w:szCs w:val="24"/>
              </w:rPr>
              <w:t>.对</w:t>
            </w:r>
            <w:r>
              <w:rPr>
                <w:rFonts w:ascii="楷体_GB2312" w:hAnsi="宋体" w:eastAsia="楷体_GB2312" w:cs="Times New Roman"/>
                <w:bCs/>
                <w:sz w:val="24"/>
                <w:szCs w:val="24"/>
              </w:rPr>
              <w:t>青年教师</w:t>
            </w:r>
            <w:r>
              <w:rPr>
                <w:rFonts w:hint="eastAsia" w:ascii="楷体_GB2312" w:hAnsi="宋体" w:eastAsia="楷体_GB2312" w:cs="Times New Roman"/>
                <w:bCs/>
                <w:sz w:val="24"/>
                <w:szCs w:val="24"/>
              </w:rPr>
              <w:t>发展</w:t>
            </w:r>
            <w:r>
              <w:rPr>
                <w:rFonts w:ascii="楷体_GB2312" w:hAnsi="宋体" w:eastAsia="楷体_GB2312" w:cs="Times New Roman"/>
                <w:bCs/>
                <w:sz w:val="24"/>
                <w:szCs w:val="24"/>
              </w:rPr>
              <w:t>的</w:t>
            </w:r>
            <w:r>
              <w:rPr>
                <w:rFonts w:hint="eastAsia" w:ascii="楷体_GB2312" w:hAnsi="宋体" w:eastAsia="楷体_GB2312" w:cs="Times New Roman"/>
                <w:bCs/>
                <w:sz w:val="24"/>
                <w:szCs w:val="24"/>
              </w:rPr>
              <w:t>其它指导计划（</w:t>
            </w:r>
            <w:r>
              <w:rPr>
                <w:rFonts w:ascii="楷体_GB2312" w:hAnsi="宋体" w:eastAsia="楷体_GB2312" w:cs="Times New Roman"/>
                <w:bCs/>
                <w:sz w:val="24"/>
                <w:szCs w:val="24"/>
              </w:rPr>
              <w:t>如</w:t>
            </w:r>
            <w:r>
              <w:rPr>
                <w:rFonts w:hint="eastAsia" w:ascii="楷体_GB2312" w:hAnsi="宋体" w:eastAsia="楷体_GB2312" w:cs="Times New Roman"/>
                <w:bCs/>
                <w:sz w:val="24"/>
                <w:szCs w:val="24"/>
              </w:rPr>
              <w:t>科学研究</w:t>
            </w:r>
            <w:r>
              <w:rPr>
                <w:rFonts w:ascii="楷体_GB2312" w:hAnsi="宋体" w:eastAsia="楷体_GB2312" w:cs="Times New Roman"/>
                <w:bCs/>
                <w:sz w:val="24"/>
                <w:szCs w:val="24"/>
              </w:rPr>
              <w:t>、</w:t>
            </w:r>
            <w:r>
              <w:rPr>
                <w:rFonts w:hint="eastAsia" w:ascii="楷体_GB2312" w:hAnsi="宋体" w:eastAsia="楷体_GB2312" w:cs="Times New Roman"/>
                <w:bCs/>
                <w:sz w:val="24"/>
                <w:szCs w:val="24"/>
              </w:rPr>
              <w:t>教学研究、专业建设、课程建设等）</w:t>
            </w:r>
          </w:p>
          <w:p>
            <w:pPr>
              <w:adjustRightInd w:val="0"/>
              <w:snapToGrid w:val="0"/>
              <w:spacing w:line="300" w:lineRule="auto"/>
              <w:rPr>
                <w:rFonts w:hint="eastAsia" w:ascii="楷体_GB2312" w:hAnsi="宋体" w:eastAsia="楷体_GB2312" w:cs="Times New Roman"/>
                <w:bCs/>
                <w:sz w:val="24"/>
                <w:szCs w:val="24"/>
              </w:rPr>
            </w:pPr>
          </w:p>
          <w:p>
            <w:pPr>
              <w:adjustRightInd w:val="0"/>
              <w:snapToGrid w:val="0"/>
              <w:spacing w:line="300" w:lineRule="auto"/>
              <w:rPr>
                <w:rFonts w:hint="eastAsia" w:ascii="楷体_GB2312" w:hAnsi="宋体" w:eastAsia="楷体_GB2312" w:cs="Times New Roman"/>
                <w:bCs/>
                <w:sz w:val="24"/>
                <w:szCs w:val="24"/>
              </w:rPr>
            </w:pPr>
          </w:p>
          <w:p>
            <w:pPr>
              <w:adjustRightInd w:val="0"/>
              <w:snapToGrid w:val="0"/>
              <w:spacing w:line="300" w:lineRule="auto"/>
              <w:rPr>
                <w:rFonts w:hint="eastAsia" w:ascii="楷体_GB2312" w:hAnsi="宋体" w:eastAsia="楷体_GB2312" w:cs="Times New Roman"/>
                <w:bCs/>
                <w:sz w:val="24"/>
                <w:szCs w:val="24"/>
              </w:rPr>
            </w:pPr>
          </w:p>
          <w:p>
            <w:pPr>
              <w:adjustRightInd w:val="0"/>
              <w:snapToGrid w:val="0"/>
              <w:spacing w:line="300" w:lineRule="auto"/>
              <w:rPr>
                <w:rFonts w:hint="eastAsia" w:ascii="楷体_GB2312" w:hAnsi="宋体" w:eastAsia="楷体_GB2312" w:cs="Times New Roman"/>
                <w:bCs/>
                <w:sz w:val="24"/>
                <w:szCs w:val="24"/>
              </w:rPr>
            </w:pPr>
          </w:p>
          <w:p>
            <w:pPr>
              <w:adjustRightInd w:val="0"/>
              <w:snapToGrid w:val="0"/>
              <w:spacing w:line="300" w:lineRule="auto"/>
              <w:rPr>
                <w:rFonts w:hint="eastAsia" w:ascii="楷体_GB2312" w:hAnsi="宋体" w:eastAsia="楷体_GB2312" w:cs="Times New Roman"/>
                <w:bCs/>
                <w:sz w:val="24"/>
                <w:szCs w:val="24"/>
              </w:rPr>
            </w:pPr>
          </w:p>
          <w:p>
            <w:pPr>
              <w:adjustRightInd w:val="0"/>
              <w:snapToGrid w:val="0"/>
              <w:spacing w:line="300" w:lineRule="auto"/>
              <w:rPr>
                <w:rFonts w:hint="eastAsia" w:ascii="楷体_GB2312" w:hAnsi="宋体" w:eastAsia="楷体_GB2312" w:cs="Times New Roman"/>
                <w:bCs/>
                <w:sz w:val="24"/>
                <w:szCs w:val="24"/>
              </w:rPr>
            </w:pPr>
          </w:p>
          <w:p>
            <w:pPr>
              <w:adjustRightInd w:val="0"/>
              <w:snapToGrid w:val="0"/>
              <w:spacing w:line="300" w:lineRule="auto"/>
              <w:rPr>
                <w:rFonts w:hint="eastAsia" w:ascii="楷体_GB2312" w:hAnsi="宋体" w:eastAsia="楷体_GB2312" w:cs="Times New Roman"/>
                <w:bCs/>
                <w:sz w:val="24"/>
                <w:szCs w:val="24"/>
              </w:rPr>
            </w:pPr>
          </w:p>
          <w:p>
            <w:pPr>
              <w:adjustRightInd w:val="0"/>
              <w:snapToGrid w:val="0"/>
              <w:spacing w:line="300" w:lineRule="auto"/>
              <w:rPr>
                <w:rFonts w:hint="eastAsia" w:ascii="楷体_GB2312" w:hAnsi="宋体" w:eastAsia="楷体_GB2312" w:cs="Times New Roman"/>
                <w:bCs/>
                <w:sz w:val="24"/>
                <w:szCs w:val="24"/>
              </w:rPr>
            </w:pPr>
          </w:p>
          <w:p>
            <w:pPr>
              <w:adjustRightInd w:val="0"/>
              <w:snapToGrid w:val="0"/>
              <w:spacing w:line="300" w:lineRule="auto"/>
              <w:rPr>
                <w:rFonts w:hint="eastAsia" w:ascii="楷体_GB2312" w:hAnsi="宋体" w:eastAsia="楷体_GB2312" w:cs="Times New Roman"/>
                <w:bCs/>
                <w:sz w:val="24"/>
                <w:szCs w:val="24"/>
              </w:rPr>
            </w:pPr>
          </w:p>
          <w:p>
            <w:pPr>
              <w:adjustRightInd w:val="0"/>
              <w:snapToGrid w:val="0"/>
              <w:spacing w:line="300" w:lineRule="auto"/>
              <w:rPr>
                <w:rFonts w:ascii="楷体_GB2312" w:hAnsi="宋体" w:eastAsia="楷体_GB2312" w:cs="Times New Roman"/>
                <w:bCs/>
                <w:sz w:val="24"/>
                <w:szCs w:val="24"/>
              </w:rPr>
            </w:pPr>
          </w:p>
          <w:p>
            <w:pPr>
              <w:adjustRightInd w:val="0"/>
              <w:snapToGrid w:val="0"/>
              <w:spacing w:line="300" w:lineRule="auto"/>
              <w:rPr>
                <w:rFonts w:hint="eastAsia" w:ascii="楷体_GB2312" w:hAnsi="宋体" w:eastAsia="楷体_GB2312" w:cs="Times New Roman"/>
                <w:bCs/>
                <w:sz w:val="24"/>
                <w:szCs w:val="24"/>
              </w:rPr>
            </w:pPr>
          </w:p>
          <w:p>
            <w:pPr>
              <w:tabs>
                <w:tab w:val="left" w:pos="690"/>
                <w:tab w:val="left" w:pos="1815"/>
              </w:tabs>
              <w:adjustRightInd w:val="0"/>
              <w:snapToGrid w:val="0"/>
              <w:spacing w:line="300" w:lineRule="auto"/>
              <w:ind w:left="2976" w:leftChars="1417" w:firstLine="1560" w:firstLineChars="650"/>
              <w:rPr>
                <w:rFonts w:ascii="楷体_GB2312" w:hAnsi="宋体" w:eastAsia="楷体_GB2312" w:cs="Times New Roman"/>
                <w:bCs/>
                <w:sz w:val="24"/>
                <w:szCs w:val="24"/>
              </w:rPr>
            </w:pPr>
            <w:r>
              <w:rPr>
                <w:rFonts w:hint="eastAsia" w:ascii="楷体_GB2312" w:hAnsi="宋体" w:eastAsia="楷体_GB2312" w:cs="Times New Roman"/>
                <w:bCs/>
                <w:sz w:val="24"/>
                <w:szCs w:val="24"/>
              </w:rPr>
              <w:t>指导</w:t>
            </w:r>
            <w:r>
              <w:rPr>
                <w:rFonts w:ascii="楷体_GB2312" w:hAnsi="宋体" w:eastAsia="楷体_GB2312" w:cs="Times New Roman"/>
                <w:bCs/>
                <w:sz w:val="24"/>
                <w:szCs w:val="24"/>
              </w:rPr>
              <w:t>教师签名</w:t>
            </w:r>
            <w:r>
              <w:rPr>
                <w:rFonts w:hint="eastAsia" w:ascii="楷体_GB2312" w:hAnsi="宋体" w:eastAsia="楷体_GB2312" w:cs="Times New Roman"/>
                <w:bCs/>
                <w:sz w:val="24"/>
                <w:szCs w:val="24"/>
              </w:rPr>
              <w:t>：</w:t>
            </w:r>
          </w:p>
          <w:p>
            <w:pPr>
              <w:tabs>
                <w:tab w:val="left" w:pos="690"/>
                <w:tab w:val="left" w:pos="1815"/>
              </w:tabs>
              <w:adjustRightInd w:val="0"/>
              <w:snapToGrid w:val="0"/>
              <w:spacing w:line="300" w:lineRule="auto"/>
              <w:ind w:left="5386" w:leftChars="2565" w:firstLine="686" w:firstLineChars="286"/>
              <w:rPr>
                <w:rFonts w:hint="eastAsia" w:ascii="楷体_GB2312" w:hAnsi="宋体" w:eastAsia="楷体_GB2312" w:cs="Times New Roman"/>
                <w:bCs/>
                <w:sz w:val="24"/>
                <w:szCs w:val="24"/>
              </w:rPr>
            </w:pPr>
            <w:r>
              <w:rPr>
                <w:rFonts w:hint="eastAsia" w:ascii="楷体_GB2312" w:hAnsi="宋体" w:eastAsia="楷体_GB2312" w:cs="Times New Roman"/>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6" w:hRule="atLeast"/>
          <w:jc w:val="center"/>
        </w:trPr>
        <w:tc>
          <w:tcPr>
            <w:tcW w:w="180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楷体_GB2312" w:hAnsi="宋体" w:eastAsia="楷体_GB2312" w:cs="Times New Roman"/>
                <w:bCs/>
                <w:sz w:val="24"/>
                <w:szCs w:val="24"/>
              </w:rPr>
            </w:pPr>
            <w:r>
              <w:rPr>
                <w:rFonts w:hint="eastAsia" w:ascii="楷体_GB2312" w:hAnsi="宋体" w:eastAsia="楷体_GB2312" w:cs="Times New Roman"/>
                <w:bCs/>
                <w:sz w:val="24"/>
                <w:szCs w:val="24"/>
              </w:rPr>
              <w:t>基层</w:t>
            </w:r>
            <w:r>
              <w:rPr>
                <w:rFonts w:ascii="楷体_GB2312" w:hAnsi="宋体" w:eastAsia="楷体_GB2312" w:cs="Times New Roman"/>
                <w:bCs/>
                <w:sz w:val="24"/>
                <w:szCs w:val="24"/>
              </w:rPr>
              <w:t>教学组织对培养</w:t>
            </w:r>
            <w:r>
              <w:rPr>
                <w:rFonts w:hint="eastAsia" w:ascii="楷体_GB2312" w:hAnsi="宋体" w:eastAsia="楷体_GB2312" w:cs="Times New Roman"/>
                <w:bCs/>
                <w:sz w:val="24"/>
                <w:szCs w:val="24"/>
              </w:rPr>
              <w:t>计划</w:t>
            </w:r>
            <w:r>
              <w:rPr>
                <w:rFonts w:ascii="楷体_GB2312" w:hAnsi="宋体" w:eastAsia="楷体_GB2312" w:cs="Times New Roman"/>
                <w:bCs/>
                <w:sz w:val="24"/>
                <w:szCs w:val="24"/>
              </w:rPr>
              <w:t>的意见</w:t>
            </w:r>
          </w:p>
        </w:tc>
        <w:tc>
          <w:tcPr>
            <w:tcW w:w="6714"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楷体_GB2312" w:hAnsi="宋体" w:eastAsia="楷体_GB2312" w:cs="Times New Roman"/>
                <w:bCs/>
                <w:sz w:val="24"/>
                <w:szCs w:val="24"/>
              </w:rPr>
            </w:pPr>
          </w:p>
          <w:p>
            <w:pPr>
              <w:adjustRightInd w:val="0"/>
              <w:snapToGrid w:val="0"/>
              <w:rPr>
                <w:rFonts w:ascii="楷体_GB2312" w:hAnsi="宋体" w:eastAsia="楷体_GB2312" w:cs="Times New Roman"/>
                <w:bCs/>
                <w:sz w:val="24"/>
                <w:szCs w:val="24"/>
              </w:rPr>
            </w:pPr>
          </w:p>
          <w:p>
            <w:pPr>
              <w:adjustRightInd w:val="0"/>
              <w:snapToGrid w:val="0"/>
              <w:ind w:firstLine="1022" w:firstLineChars="426"/>
              <w:rPr>
                <w:rFonts w:ascii="楷体_GB2312" w:hAnsi="宋体" w:eastAsia="楷体_GB2312" w:cs="Times New Roman"/>
                <w:bCs/>
                <w:sz w:val="24"/>
                <w:szCs w:val="24"/>
              </w:rPr>
            </w:pPr>
            <w:r>
              <w:rPr>
                <w:rFonts w:hint="eastAsia" w:ascii="楷体_GB2312" w:hAnsi="宋体" w:eastAsia="楷体_GB2312" w:cs="Times New Roman"/>
                <w:bCs/>
                <w:sz w:val="24"/>
                <w:szCs w:val="24"/>
              </w:rPr>
              <w:t>基层</w:t>
            </w:r>
            <w:r>
              <w:rPr>
                <w:rFonts w:ascii="楷体_GB2312" w:hAnsi="宋体" w:eastAsia="楷体_GB2312" w:cs="Times New Roman"/>
                <w:bCs/>
                <w:sz w:val="24"/>
                <w:szCs w:val="24"/>
              </w:rPr>
              <w:t>教学组织负责人签字</w:t>
            </w:r>
            <w:r>
              <w:rPr>
                <w:rFonts w:hint="eastAsia" w:ascii="楷体_GB2312" w:hAnsi="宋体" w:eastAsia="楷体_GB2312" w:cs="Times New Roman"/>
                <w:bCs/>
                <w:sz w:val="24"/>
                <w:szCs w:val="24"/>
              </w:rPr>
              <w:t>：</w:t>
            </w:r>
          </w:p>
          <w:p>
            <w:pPr>
              <w:adjustRightInd w:val="0"/>
              <w:snapToGrid w:val="0"/>
              <w:ind w:firstLine="4320" w:firstLineChars="1800"/>
              <w:rPr>
                <w:rFonts w:hint="eastAsia" w:ascii="楷体_GB2312" w:hAnsi="宋体" w:eastAsia="楷体_GB2312" w:cs="Times New Roman"/>
                <w:bCs/>
                <w:sz w:val="24"/>
                <w:szCs w:val="24"/>
              </w:rPr>
            </w:pPr>
            <w:r>
              <w:rPr>
                <w:rFonts w:hint="eastAsia" w:ascii="楷体_GB2312" w:hAnsi="宋体" w:eastAsia="楷体_GB2312" w:cs="Times New Roman"/>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1" w:hRule="atLeast"/>
          <w:jc w:val="center"/>
        </w:trPr>
        <w:tc>
          <w:tcPr>
            <w:tcW w:w="180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rFonts w:hint="eastAsia" w:ascii="黑体" w:hAnsi="黑体" w:eastAsia="黑体" w:cs="Times New Roman"/>
                <w:bCs/>
                <w:sz w:val="24"/>
                <w:szCs w:val="24"/>
              </w:rPr>
            </w:pPr>
            <w:r>
              <w:rPr>
                <w:rFonts w:hint="eastAsia" w:ascii="楷体_GB2312" w:hAnsi="宋体" w:eastAsia="楷体_GB2312" w:cs="Times New Roman"/>
                <w:bCs/>
                <w:sz w:val="24"/>
                <w:szCs w:val="24"/>
              </w:rPr>
              <w:t>所在学院对培养计划的意见</w:t>
            </w:r>
          </w:p>
        </w:tc>
        <w:tc>
          <w:tcPr>
            <w:tcW w:w="6714"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ascii="楷体_GB2312" w:hAnsi="宋体" w:eastAsia="楷体_GB2312" w:cs="Times New Roman"/>
                <w:bCs/>
                <w:sz w:val="24"/>
                <w:szCs w:val="24"/>
              </w:rPr>
            </w:pPr>
          </w:p>
          <w:p>
            <w:pPr>
              <w:adjustRightInd w:val="0"/>
              <w:snapToGrid w:val="0"/>
              <w:rPr>
                <w:rFonts w:hint="eastAsia" w:ascii="楷体_GB2312" w:hAnsi="宋体" w:eastAsia="楷体_GB2312" w:cs="Times New Roman"/>
                <w:bCs/>
                <w:sz w:val="24"/>
                <w:szCs w:val="24"/>
              </w:rPr>
            </w:pPr>
          </w:p>
          <w:p>
            <w:pPr>
              <w:adjustRightInd w:val="0"/>
              <w:snapToGrid w:val="0"/>
              <w:ind w:firstLine="1308" w:firstLineChars="545"/>
              <w:rPr>
                <w:rFonts w:hint="eastAsia" w:ascii="楷体_GB2312" w:hAnsi="宋体" w:eastAsia="楷体_GB2312" w:cs="Times New Roman"/>
                <w:bCs/>
                <w:sz w:val="24"/>
                <w:szCs w:val="24"/>
              </w:rPr>
            </w:pPr>
            <w:r>
              <w:rPr>
                <w:rFonts w:hint="eastAsia" w:ascii="楷体_GB2312" w:hAnsi="宋体" w:eastAsia="楷体_GB2312" w:cs="Times New Roman"/>
                <w:bCs/>
                <w:sz w:val="24"/>
                <w:szCs w:val="24"/>
              </w:rPr>
              <w:t>学院</w:t>
            </w:r>
            <w:r>
              <w:rPr>
                <w:rFonts w:ascii="楷体_GB2312" w:hAnsi="宋体" w:eastAsia="楷体_GB2312" w:cs="Times New Roman"/>
                <w:bCs/>
                <w:sz w:val="24"/>
                <w:szCs w:val="24"/>
              </w:rPr>
              <w:t>负责人</w:t>
            </w:r>
            <w:r>
              <w:rPr>
                <w:rFonts w:hint="eastAsia" w:ascii="楷体_GB2312" w:hAnsi="宋体" w:eastAsia="楷体_GB2312" w:cs="Times New Roman"/>
                <w:bCs/>
                <w:sz w:val="24"/>
                <w:szCs w:val="24"/>
              </w:rPr>
              <w:t>签字：        （学院盖章）</w:t>
            </w:r>
          </w:p>
          <w:p>
            <w:pPr>
              <w:adjustRightInd w:val="0"/>
              <w:snapToGrid w:val="0"/>
              <w:ind w:firstLine="4320" w:firstLineChars="1800"/>
              <w:rPr>
                <w:rFonts w:hint="eastAsia" w:ascii="楷体_GB2312" w:hAnsi="宋体" w:eastAsia="楷体_GB2312" w:cs="Times New Roman"/>
                <w:bCs/>
                <w:sz w:val="24"/>
                <w:szCs w:val="24"/>
              </w:rPr>
            </w:pPr>
            <w:r>
              <w:rPr>
                <w:rFonts w:hint="eastAsia" w:ascii="楷体_GB2312" w:hAnsi="宋体" w:eastAsia="楷体_GB2312" w:cs="Times New Roman"/>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jc w:val="center"/>
        </w:trPr>
        <w:tc>
          <w:tcPr>
            <w:tcW w:w="1808"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left"/>
              <w:rPr>
                <w:rFonts w:hint="eastAsia" w:ascii="黑体" w:hAnsi="黑体" w:eastAsia="黑体" w:cs="Times New Roman"/>
                <w:bCs/>
                <w:sz w:val="24"/>
                <w:szCs w:val="24"/>
              </w:rPr>
            </w:pPr>
            <w:r>
              <w:rPr>
                <w:rFonts w:hint="eastAsia" w:ascii="楷体_GB2312" w:hAnsi="宋体" w:eastAsia="楷体_GB2312" w:cs="Times New Roman"/>
                <w:bCs/>
                <w:sz w:val="24"/>
                <w:szCs w:val="24"/>
              </w:rPr>
              <w:t>学校审核意见</w:t>
            </w:r>
          </w:p>
        </w:tc>
        <w:tc>
          <w:tcPr>
            <w:tcW w:w="6714" w:type="dxa"/>
            <w:gridSpan w:val="6"/>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rPr>
                <w:rFonts w:ascii="楷体_GB2312" w:hAnsi="宋体" w:eastAsia="楷体_GB2312" w:cs="Times New Roman"/>
                <w:bCs/>
                <w:sz w:val="24"/>
                <w:szCs w:val="24"/>
              </w:rPr>
            </w:pPr>
          </w:p>
          <w:p>
            <w:pPr>
              <w:adjustRightInd w:val="0"/>
              <w:snapToGrid w:val="0"/>
              <w:spacing w:line="300" w:lineRule="auto"/>
              <w:ind w:firstLine="4927" w:firstLineChars="2053"/>
              <w:rPr>
                <w:rFonts w:ascii="楷体_GB2312" w:hAnsi="宋体" w:eastAsia="楷体_GB2312" w:cs="Times New Roman"/>
                <w:bCs/>
                <w:sz w:val="24"/>
                <w:szCs w:val="24"/>
              </w:rPr>
            </w:pPr>
          </w:p>
          <w:p>
            <w:pPr>
              <w:adjustRightInd w:val="0"/>
              <w:snapToGrid w:val="0"/>
              <w:spacing w:line="300" w:lineRule="auto"/>
              <w:ind w:firstLine="4440" w:firstLineChars="1850"/>
              <w:rPr>
                <w:rFonts w:hint="eastAsia" w:ascii="楷体_GB2312" w:hAnsi="宋体" w:eastAsia="楷体_GB2312" w:cs="Times New Roman"/>
                <w:bCs/>
                <w:sz w:val="24"/>
                <w:szCs w:val="24"/>
              </w:rPr>
            </w:pPr>
            <w:r>
              <w:rPr>
                <w:rFonts w:hint="eastAsia" w:ascii="楷体_GB2312" w:hAnsi="宋体" w:eastAsia="楷体_GB2312" w:cs="Times New Roman"/>
                <w:bCs/>
                <w:sz w:val="24"/>
                <w:szCs w:val="24"/>
              </w:rPr>
              <w:t>年     月     日</w:t>
            </w:r>
          </w:p>
        </w:tc>
      </w:tr>
    </w:tbl>
    <w:p>
      <w:pPr>
        <w:suppressAutoHyphens/>
        <w:rPr>
          <w:rFonts w:hint="eastAsia" w:ascii="仿宋_GB2312" w:hAnsi="Times New Roman" w:eastAsia="仿宋_GB2312" w:cs="Times New Roman"/>
          <w:b/>
          <w:sz w:val="18"/>
          <w:szCs w:val="18"/>
        </w:rPr>
      </w:pPr>
      <w:r>
        <w:rPr>
          <w:rFonts w:hint="eastAsia" w:ascii="仿宋_GB2312" w:hAnsi="Times New Roman" w:eastAsia="仿宋_GB2312" w:cs="Times New Roman"/>
          <w:b/>
          <w:sz w:val="18"/>
          <w:szCs w:val="18"/>
        </w:rPr>
        <w:t>注：</w:t>
      </w:r>
      <w:r>
        <w:rPr>
          <w:rFonts w:hint="eastAsia" w:ascii="仿宋_GB2312" w:hAnsi="Times New Roman" w:eastAsia="仿宋_GB2312" w:cs="Times New Roman"/>
          <w:sz w:val="18"/>
          <w:szCs w:val="18"/>
        </w:rPr>
        <w:t>本表一式四份，学院加盖公章后统一送至教师发展中心，教师发展中心形式审查合格后返回三份，其中一份学院留存，一份指导教师留存，另一份由青年教师粘贴在《嘉兴学院青年教师助讲培养工作记录本》第3页上。</w:t>
      </w:r>
    </w:p>
    <w:p>
      <w:pPr>
        <w:spacing w:line="360" w:lineRule="auto"/>
        <w:ind w:right="25" w:rightChars="12"/>
        <w:rPr>
          <w:rFonts w:hint="eastAsia" w:ascii="黑体" w:hAnsi="Times New Roman" w:eastAsia="黑体" w:cs="Times New Roman"/>
          <w:sz w:val="24"/>
          <w:szCs w:val="24"/>
        </w:rPr>
      </w:pPr>
      <w:r>
        <w:rPr>
          <w:rFonts w:hint="eastAsia" w:ascii="黑体" w:hAnsi="Times New Roman" w:eastAsia="黑体" w:cs="Times New Roman"/>
          <w:sz w:val="24"/>
          <w:szCs w:val="24"/>
        </w:rPr>
        <w:t>附件2：</w:t>
      </w:r>
    </w:p>
    <w:p>
      <w:pPr>
        <w:spacing w:after="156" w:afterLines="50" w:line="360" w:lineRule="auto"/>
        <w:ind w:right="25" w:rightChars="12"/>
        <w:jc w:val="center"/>
        <w:rPr>
          <w:rFonts w:hint="eastAsia" w:ascii="仿宋_GB2312" w:hAnsi="宋体" w:eastAsia="仿宋_GB2312" w:cs="Times New Roman"/>
          <w:b/>
          <w:sz w:val="28"/>
          <w:szCs w:val="28"/>
        </w:rPr>
      </w:pPr>
      <w:r>
        <w:rPr>
          <w:rFonts w:hint="eastAsia" w:ascii="仿宋_GB2312" w:hAnsi="Times New Roman" w:eastAsia="仿宋_GB2312" w:cs="Times New Roman"/>
          <w:b/>
          <w:sz w:val="28"/>
          <w:szCs w:val="28"/>
        </w:rPr>
        <w:t>嘉兴</w:t>
      </w:r>
      <w:r>
        <w:rPr>
          <w:rFonts w:hint="eastAsia" w:ascii="仿宋_GB2312" w:hAnsi="宋体" w:eastAsia="仿宋_GB2312" w:cs="Times New Roman"/>
          <w:b/>
          <w:sz w:val="28"/>
          <w:szCs w:val="28"/>
        </w:rPr>
        <w:t>学院</w:t>
      </w:r>
      <w:r>
        <w:rPr>
          <w:rFonts w:hint="eastAsia" w:ascii="仿宋_GB2312" w:hAnsi="宋体" w:eastAsia="仿宋_GB2312" w:cs="Times New Roman"/>
          <w:b/>
          <w:sz w:val="28"/>
          <w:szCs w:val="28"/>
          <w:u w:val="single"/>
        </w:rPr>
        <w:t xml:space="preserve">          </w:t>
      </w:r>
      <w:r>
        <w:rPr>
          <w:rFonts w:hint="eastAsia" w:ascii="仿宋_GB2312" w:hAnsi="宋体" w:eastAsia="仿宋_GB2312" w:cs="Times New Roman"/>
          <w:b/>
          <w:sz w:val="28"/>
          <w:szCs w:val="28"/>
        </w:rPr>
        <w:t>学院青年教师助讲培养汇总表</w:t>
      </w:r>
    </w:p>
    <w:tbl>
      <w:tblPr>
        <w:tblStyle w:val="5"/>
        <w:tblW w:w="9600" w:type="dxa"/>
        <w:jc w:val="center"/>
        <w:tblInd w:w="93"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80"/>
        <w:gridCol w:w="1300"/>
        <w:gridCol w:w="1720"/>
        <w:gridCol w:w="1320"/>
        <w:gridCol w:w="1200"/>
        <w:gridCol w:w="1900"/>
        <w:gridCol w:w="10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60" w:hRule="atLeast"/>
          <w:jc w:val="center"/>
        </w:trPr>
        <w:tc>
          <w:tcPr>
            <w:tcW w:w="1080" w:type="dxa"/>
            <w:shd w:val="clear" w:color="auto" w:fill="auto"/>
            <w:noWrap/>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序号</w:t>
            </w:r>
          </w:p>
        </w:tc>
        <w:tc>
          <w:tcPr>
            <w:tcW w:w="1300" w:type="dxa"/>
            <w:shd w:val="clear" w:color="auto" w:fill="auto"/>
            <w:noWrap/>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青年教师</w:t>
            </w:r>
          </w:p>
          <w:p>
            <w:pPr>
              <w:jc w:val="center"/>
              <w:rPr>
                <w:rFonts w:ascii="仿宋" w:hAnsi="仿宋" w:eastAsia="仿宋" w:cs="宋体"/>
                <w:b/>
                <w:bCs/>
                <w:kern w:val="0"/>
                <w:sz w:val="24"/>
                <w:szCs w:val="24"/>
              </w:rPr>
            </w:pPr>
            <w:r>
              <w:rPr>
                <w:rFonts w:hint="eastAsia" w:ascii="仿宋" w:hAnsi="仿宋" w:eastAsia="仿宋" w:cs="宋体"/>
                <w:b/>
                <w:bCs/>
                <w:kern w:val="0"/>
                <w:sz w:val="24"/>
                <w:szCs w:val="24"/>
              </w:rPr>
              <w:t>姓名</w:t>
            </w:r>
          </w:p>
        </w:tc>
        <w:tc>
          <w:tcPr>
            <w:tcW w:w="1720" w:type="dxa"/>
            <w:shd w:val="clear" w:color="auto" w:fill="auto"/>
            <w:noWrap/>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手  机</w:t>
            </w:r>
          </w:p>
        </w:tc>
        <w:tc>
          <w:tcPr>
            <w:tcW w:w="1320" w:type="dxa"/>
            <w:shd w:val="clear" w:color="auto" w:fill="auto"/>
            <w:noWrap/>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指导教师</w:t>
            </w:r>
          </w:p>
          <w:p>
            <w:pPr>
              <w:jc w:val="center"/>
              <w:rPr>
                <w:rFonts w:ascii="仿宋" w:hAnsi="仿宋" w:eastAsia="仿宋" w:cs="宋体"/>
                <w:b/>
                <w:bCs/>
                <w:kern w:val="0"/>
                <w:sz w:val="24"/>
                <w:szCs w:val="24"/>
              </w:rPr>
            </w:pPr>
            <w:r>
              <w:rPr>
                <w:rFonts w:hint="eastAsia" w:ascii="仿宋" w:hAnsi="仿宋" w:eastAsia="仿宋" w:cs="宋体"/>
                <w:b/>
                <w:bCs/>
                <w:kern w:val="0"/>
                <w:sz w:val="24"/>
                <w:szCs w:val="24"/>
              </w:rPr>
              <w:t>姓名</w:t>
            </w:r>
          </w:p>
        </w:tc>
        <w:tc>
          <w:tcPr>
            <w:tcW w:w="1200" w:type="dxa"/>
            <w:shd w:val="clear" w:color="auto" w:fill="auto"/>
            <w:noWrap/>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指导教师</w:t>
            </w:r>
          </w:p>
          <w:p>
            <w:pPr>
              <w:jc w:val="center"/>
              <w:rPr>
                <w:rFonts w:ascii="仿宋" w:hAnsi="仿宋" w:eastAsia="仿宋" w:cs="宋体"/>
                <w:b/>
                <w:bCs/>
                <w:kern w:val="0"/>
                <w:sz w:val="24"/>
                <w:szCs w:val="24"/>
              </w:rPr>
            </w:pPr>
            <w:r>
              <w:rPr>
                <w:rFonts w:hint="eastAsia" w:ascii="仿宋" w:hAnsi="仿宋" w:eastAsia="仿宋" w:cs="宋体"/>
                <w:b/>
                <w:bCs/>
                <w:kern w:val="0"/>
                <w:sz w:val="24"/>
                <w:szCs w:val="24"/>
              </w:rPr>
              <w:t>职称</w:t>
            </w:r>
          </w:p>
        </w:tc>
        <w:tc>
          <w:tcPr>
            <w:tcW w:w="1900" w:type="dxa"/>
            <w:shd w:val="clear" w:color="auto" w:fill="auto"/>
            <w:noWrap/>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手  机</w:t>
            </w:r>
          </w:p>
        </w:tc>
        <w:tc>
          <w:tcPr>
            <w:tcW w:w="1080" w:type="dxa"/>
            <w:shd w:val="clear" w:color="auto" w:fill="auto"/>
            <w:noWrap/>
            <w:vAlign w:val="center"/>
          </w:tcPr>
          <w:p>
            <w:pPr>
              <w:widowControl/>
              <w:jc w:val="center"/>
              <w:rPr>
                <w:rFonts w:ascii="仿宋" w:hAnsi="仿宋" w:eastAsia="仿宋" w:cs="宋体"/>
                <w:b/>
                <w:bCs/>
                <w:kern w:val="0"/>
                <w:sz w:val="24"/>
                <w:szCs w:val="24"/>
              </w:rPr>
            </w:pPr>
            <w:r>
              <w:rPr>
                <w:rFonts w:hint="eastAsia" w:ascii="仿宋" w:hAnsi="仿宋" w:eastAsia="仿宋" w:cs="宋体"/>
                <w:b/>
                <w:bCs/>
                <w:kern w:val="0"/>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5" w:hRule="atLeast"/>
          <w:jc w:val="center"/>
        </w:trPr>
        <w:tc>
          <w:tcPr>
            <w:tcW w:w="108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72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2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9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5" w:hRule="atLeast"/>
          <w:jc w:val="center"/>
        </w:trPr>
        <w:tc>
          <w:tcPr>
            <w:tcW w:w="108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72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2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9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5" w:hRule="atLeast"/>
          <w:jc w:val="center"/>
        </w:trPr>
        <w:tc>
          <w:tcPr>
            <w:tcW w:w="108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72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2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9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5" w:hRule="atLeast"/>
          <w:jc w:val="center"/>
        </w:trPr>
        <w:tc>
          <w:tcPr>
            <w:tcW w:w="108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72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2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9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5" w:hRule="atLeast"/>
          <w:jc w:val="center"/>
        </w:trPr>
        <w:tc>
          <w:tcPr>
            <w:tcW w:w="108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72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2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9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5" w:hRule="atLeast"/>
          <w:jc w:val="center"/>
        </w:trPr>
        <w:tc>
          <w:tcPr>
            <w:tcW w:w="108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72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2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9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5" w:hRule="atLeast"/>
          <w:jc w:val="center"/>
        </w:trPr>
        <w:tc>
          <w:tcPr>
            <w:tcW w:w="108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72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2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9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5" w:hRule="atLeast"/>
          <w:jc w:val="center"/>
        </w:trPr>
        <w:tc>
          <w:tcPr>
            <w:tcW w:w="108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72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2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9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5" w:hRule="atLeast"/>
          <w:jc w:val="center"/>
        </w:trPr>
        <w:tc>
          <w:tcPr>
            <w:tcW w:w="108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72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2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9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65" w:hRule="atLeast"/>
          <w:jc w:val="center"/>
        </w:trPr>
        <w:tc>
          <w:tcPr>
            <w:tcW w:w="108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72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32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90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80" w:type="dxa"/>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bl>
    <w:p>
      <w:pPr>
        <w:spacing w:line="200" w:lineRule="exact"/>
        <w:rPr>
          <w:rFonts w:hint="eastAsia" w:ascii="宋体" w:hAnsi="宋体" w:eastAsia="宋体" w:cs="Times New Roman"/>
          <w:color w:val="000000"/>
          <w:sz w:val="32"/>
          <w:szCs w:val="32"/>
        </w:rPr>
      </w:pPr>
    </w:p>
    <w:p>
      <w:pPr>
        <w:rPr>
          <w:rFonts w:ascii="Times New Roman" w:hAnsi="Times New Roman" w:eastAsia="宋体" w:cs="Times New Roman"/>
          <w:szCs w:val="24"/>
        </w:rPr>
      </w:pPr>
    </w:p>
    <w:p>
      <w:pPr>
        <w:jc w:val="right"/>
        <w:rPr>
          <w:rFonts w:asciiTheme="minorEastAsia" w:hAnsiTheme="minorEastAsia"/>
          <w:sz w:val="28"/>
          <w:szCs w:val="28"/>
        </w:rPr>
      </w:pPr>
      <w:r>
        <w:rPr>
          <w:rFonts w:asciiTheme="minorEastAsia" w:hAnsiTheme="minorEastAsia"/>
          <w:sz w:val="28"/>
          <w:szCs w:val="28"/>
        </w:rPr>
        <w:t xml:space="preserve"> </w:t>
      </w:r>
    </w:p>
    <w:p>
      <w:pPr>
        <w:jc w:val="right"/>
        <w:rPr>
          <w:rFonts w:asciiTheme="minorEastAsia" w:hAnsiTheme="minorEastAsia"/>
          <w:sz w:val="28"/>
          <w:szCs w:val="28"/>
        </w:rPr>
      </w:pPr>
    </w:p>
    <w:p>
      <w:pPr>
        <w:jc w:val="right"/>
        <w:rPr>
          <w:rFonts w:asciiTheme="minorEastAsia" w:hAnsiTheme="minorEastAsia"/>
          <w:sz w:val="28"/>
          <w:szCs w:val="28"/>
        </w:rPr>
      </w:pPr>
    </w:p>
    <w:p>
      <w:pPr>
        <w:jc w:val="right"/>
        <w:rPr>
          <w:rFonts w:asciiTheme="minorEastAsia" w:hAnsiTheme="minorEastAsia"/>
          <w:sz w:val="28"/>
          <w:szCs w:val="28"/>
        </w:rPr>
      </w:pPr>
    </w:p>
    <w:p>
      <w:pPr>
        <w:jc w:val="right"/>
        <w:rPr>
          <w:rFonts w:asciiTheme="minorEastAsia" w:hAnsiTheme="minorEastAsia"/>
          <w:sz w:val="28"/>
          <w:szCs w:val="28"/>
        </w:rPr>
      </w:pPr>
    </w:p>
    <w:p>
      <w:pPr>
        <w:jc w:val="right"/>
        <w:rPr>
          <w:rFonts w:asciiTheme="minorEastAsia" w:hAnsiTheme="minorEastAsia"/>
          <w:sz w:val="28"/>
          <w:szCs w:val="28"/>
        </w:rPr>
      </w:pPr>
    </w:p>
    <w:p>
      <w:pPr>
        <w:jc w:val="right"/>
        <w:rPr>
          <w:rFonts w:asciiTheme="minorEastAsia" w:hAnsiTheme="minorEastAsia"/>
          <w:sz w:val="28"/>
          <w:szCs w:val="28"/>
        </w:rPr>
      </w:pPr>
    </w:p>
    <w:p>
      <w:pPr>
        <w:jc w:val="right"/>
        <w:rPr>
          <w:rFonts w:asciiTheme="minorEastAsia" w:hAnsiTheme="minorEastAsia"/>
          <w:sz w:val="28"/>
          <w:szCs w:val="28"/>
        </w:rPr>
      </w:pPr>
    </w:p>
    <w:p>
      <w:pPr>
        <w:jc w:val="right"/>
        <w:rPr>
          <w:rFonts w:asciiTheme="minorEastAsia" w:hAnsiTheme="minorEastAsia"/>
          <w:sz w:val="28"/>
          <w:szCs w:val="28"/>
        </w:rPr>
      </w:pPr>
    </w:p>
    <w:p>
      <w:pPr>
        <w:jc w:val="right"/>
        <w:rPr>
          <w:rFonts w:asciiTheme="minorEastAsia" w:hAnsiTheme="minorEastAsia"/>
          <w:sz w:val="28"/>
          <w:szCs w:val="28"/>
        </w:rPr>
      </w:pPr>
    </w:p>
    <w:p>
      <w:pPr>
        <w:jc w:val="center"/>
        <w:rPr>
          <w:rFonts w:hint="eastAsia" w:ascii="Times New Roman" w:hAnsi="Times New Roman" w:eastAsia="宋体" w:cs="Times New Roman"/>
          <w:b/>
          <w:color w:val="FF0000"/>
          <w:spacing w:val="80"/>
          <w:sz w:val="28"/>
          <w:szCs w:val="24"/>
        </w:rPr>
      </w:pPr>
    </w:p>
    <w:p>
      <w:pPr>
        <w:jc w:val="center"/>
        <w:rPr>
          <w:rFonts w:ascii="Times New Roman" w:hAnsi="Times New Roman" w:eastAsia="宋体" w:cs="Times New Roman"/>
          <w:b/>
          <w:color w:val="FF0000"/>
          <w:spacing w:val="100"/>
          <w:sz w:val="96"/>
          <w:szCs w:val="96"/>
        </w:rPr>
      </w:pPr>
      <w:r>
        <w:rPr>
          <w:rFonts w:hint="eastAsia" w:ascii="Times New Roman" w:hAnsi="Times New Roman" w:eastAsia="宋体" w:cs="Times New Roman"/>
          <w:b/>
          <w:color w:val="FF0000"/>
          <w:spacing w:val="100"/>
          <w:sz w:val="96"/>
          <w:szCs w:val="96"/>
        </w:rPr>
        <w:t>嘉兴学院文件</w:t>
      </w:r>
    </w:p>
    <w:p>
      <w:pPr>
        <w:jc w:val="center"/>
        <w:rPr>
          <w:rFonts w:hint="eastAsia" w:ascii="Times New Roman" w:hAnsi="Times New Roman" w:eastAsia="宋体" w:cs="Times New Roman"/>
          <w:b/>
          <w:color w:val="FF0000"/>
          <w:spacing w:val="80"/>
          <w:sz w:val="28"/>
          <w:szCs w:val="24"/>
        </w:rPr>
      </w:pPr>
    </w:p>
    <w:p>
      <w:pPr>
        <w:jc w:val="center"/>
        <w:rPr>
          <w:rFonts w:hint="eastAsia" w:ascii="仿宋_GB2312" w:hAnsi="Times New Roman" w:eastAsia="仿宋_GB2312" w:cs="Times New Roman"/>
          <w:sz w:val="30"/>
          <w:szCs w:val="30"/>
        </w:rPr>
      </w:pPr>
      <w:r>
        <w:rPr>
          <w:rFonts w:hint="eastAsia" w:ascii="仿宋_GB2312" w:hAnsi="Times New Roman" w:eastAsia="仿宋_GB2312" w:cs="Times New Roman"/>
          <w:sz w:val="30"/>
          <w:szCs w:val="30"/>
        </w:rPr>
        <w:t>嘉院人字〔2013〕4号</w:t>
      </w:r>
    </w:p>
    <w:p>
      <w:pPr>
        <w:spacing w:line="400" w:lineRule="exact"/>
        <w:jc w:val="center"/>
        <w:rPr>
          <w:rFonts w:hint="eastAsia" w:ascii="Times New Roman" w:hAnsi="Times New Roman" w:eastAsia="宋体" w:cs="Times New Roman"/>
          <w:color w:val="FF0000"/>
          <w:sz w:val="28"/>
          <w:szCs w:val="24"/>
        </w:rPr>
      </w:pPr>
      <w:r>
        <w:rPr>
          <w:rFonts w:hint="eastAsia" w:ascii="宋体" w:hAnsi="Times New Roman" w:eastAsia="宋体" w:cs="Times New Roman"/>
          <w:color w:val="FF0000"/>
          <w:sz w:val="28"/>
          <w:szCs w:val="24"/>
        </w:rPr>
        <w:t>─────────────────────────────</w:t>
      </w:r>
    </w:p>
    <w:p>
      <w:pPr>
        <w:spacing w:line="800" w:lineRule="exact"/>
        <w:jc w:val="center"/>
        <w:rPr>
          <w:rFonts w:ascii="Times New Roman" w:hAnsi="Times New Roman" w:eastAsia="宋体" w:cs="Times New Roman"/>
          <w:sz w:val="28"/>
          <w:szCs w:val="24"/>
        </w:rPr>
      </w:pPr>
    </w:p>
    <w:p>
      <w:pPr>
        <w:spacing w:before="340"/>
        <w:jc w:val="center"/>
        <w:rPr>
          <w:rStyle w:val="7"/>
          <w:rFonts w:hint="eastAsia" w:ascii="宋体" w:hAnsi="宋体" w:eastAsia="宋体" w:cs="Times New Roman"/>
          <w:color w:val="000000"/>
          <w:sz w:val="36"/>
          <w:szCs w:val="36"/>
        </w:rPr>
      </w:pPr>
      <w:r>
        <w:rPr>
          <w:rStyle w:val="7"/>
          <w:rFonts w:hint="eastAsia" w:ascii="宋体" w:hAnsi="宋体" w:eastAsia="宋体" w:cs="Times New Roman"/>
          <w:color w:val="000000"/>
          <w:sz w:val="36"/>
          <w:szCs w:val="36"/>
        </w:rPr>
        <w:t>关于印发《嘉兴学院青年教师助讲培养</w:t>
      </w:r>
    </w:p>
    <w:p>
      <w:pPr>
        <w:spacing w:after="360"/>
        <w:jc w:val="center"/>
        <w:rPr>
          <w:rStyle w:val="7"/>
          <w:rFonts w:hint="eastAsia" w:ascii="宋体" w:hAnsi="宋体" w:eastAsia="宋体" w:cs="Times New Roman"/>
          <w:color w:val="000000"/>
          <w:sz w:val="36"/>
          <w:szCs w:val="36"/>
        </w:rPr>
      </w:pPr>
      <w:r>
        <w:rPr>
          <w:rStyle w:val="7"/>
          <w:rFonts w:hint="eastAsia" w:ascii="宋体" w:hAnsi="宋体" w:eastAsia="宋体" w:cs="Times New Roman"/>
          <w:color w:val="000000"/>
          <w:sz w:val="36"/>
          <w:szCs w:val="36"/>
        </w:rPr>
        <w:t>暂行办法》的通知</w:t>
      </w:r>
    </w:p>
    <w:p>
      <w:pPr>
        <w:snapToGrid w:val="0"/>
        <w:spacing w:line="360" w:lineRule="auto"/>
        <w:rPr>
          <w:rStyle w:val="7"/>
          <w:rFonts w:hint="eastAsia" w:ascii="仿宋_GB2312" w:hAnsi="宋体" w:eastAsia="仿宋_GB2312" w:cs="Times New Roman"/>
          <w:b w:val="0"/>
          <w:color w:val="000000"/>
          <w:sz w:val="30"/>
          <w:szCs w:val="30"/>
        </w:rPr>
      </w:pPr>
      <w:r>
        <w:rPr>
          <w:rStyle w:val="7"/>
          <w:rFonts w:hint="eastAsia" w:ascii="仿宋_GB2312" w:hAnsi="宋体" w:eastAsia="仿宋_GB2312" w:cs="Times New Roman"/>
          <w:b w:val="0"/>
          <w:color w:val="000000"/>
          <w:sz w:val="30"/>
          <w:szCs w:val="30"/>
        </w:rPr>
        <w:t>学校各部门、直属各单位：</w:t>
      </w:r>
    </w:p>
    <w:p>
      <w:pPr>
        <w:snapToGrid w:val="0"/>
        <w:spacing w:line="360" w:lineRule="auto"/>
        <w:ind w:firstLine="600"/>
        <w:rPr>
          <w:rStyle w:val="7"/>
          <w:rFonts w:hint="eastAsia" w:ascii="仿宋_GB2312" w:hAnsi="宋体" w:eastAsia="仿宋_GB2312" w:cs="Times New Roman"/>
          <w:b w:val="0"/>
          <w:color w:val="000000"/>
          <w:sz w:val="30"/>
          <w:szCs w:val="30"/>
        </w:rPr>
      </w:pPr>
      <w:r>
        <w:rPr>
          <w:rStyle w:val="7"/>
          <w:rFonts w:hint="eastAsia" w:ascii="仿宋_GB2312" w:hAnsi="宋体" w:eastAsia="仿宋_GB2312" w:cs="Times New Roman"/>
          <w:b w:val="0"/>
          <w:color w:val="000000"/>
          <w:sz w:val="30"/>
          <w:szCs w:val="30"/>
        </w:rPr>
        <w:t>《嘉兴学院青年教师助讲培养暂行办法》已经2013年第9次校长办公会议审定，现予印发，请遵照执行。</w:t>
      </w:r>
    </w:p>
    <w:p>
      <w:pPr>
        <w:snapToGrid w:val="0"/>
        <w:spacing w:line="360" w:lineRule="auto"/>
        <w:ind w:firstLine="600"/>
        <w:rPr>
          <w:rStyle w:val="7"/>
          <w:rFonts w:hint="eastAsia" w:ascii="仿宋_GB2312" w:hAnsi="宋体" w:eastAsia="仿宋_GB2312" w:cs="Times New Roman"/>
          <w:b w:val="0"/>
          <w:color w:val="000000"/>
          <w:sz w:val="30"/>
          <w:szCs w:val="30"/>
        </w:rPr>
      </w:pPr>
    </w:p>
    <w:p>
      <w:pPr>
        <w:snapToGrid w:val="0"/>
        <w:spacing w:line="360" w:lineRule="auto"/>
        <w:ind w:firstLine="600"/>
        <w:rPr>
          <w:rStyle w:val="7"/>
          <w:rFonts w:hint="eastAsia" w:ascii="仿宋_GB2312" w:hAnsi="宋体" w:eastAsia="仿宋_GB2312" w:cs="Times New Roman"/>
          <w:b w:val="0"/>
          <w:color w:val="000000"/>
          <w:sz w:val="30"/>
          <w:szCs w:val="30"/>
        </w:rPr>
      </w:pPr>
    </w:p>
    <w:p>
      <w:pPr>
        <w:snapToGrid w:val="0"/>
        <w:spacing w:line="360" w:lineRule="auto"/>
        <w:ind w:firstLine="600"/>
        <w:rPr>
          <w:rStyle w:val="7"/>
          <w:rFonts w:hint="eastAsia" w:ascii="仿宋_GB2312" w:hAnsi="宋体" w:eastAsia="仿宋_GB2312" w:cs="Times New Roman"/>
          <w:b w:val="0"/>
          <w:color w:val="000000"/>
          <w:sz w:val="30"/>
          <w:szCs w:val="30"/>
        </w:rPr>
      </w:pPr>
    </w:p>
    <w:p>
      <w:pPr>
        <w:snapToGrid w:val="0"/>
        <w:spacing w:line="360" w:lineRule="auto"/>
        <w:ind w:firstLine="600"/>
        <w:rPr>
          <w:rStyle w:val="7"/>
          <w:rFonts w:hint="eastAsia" w:ascii="仿宋_GB2312" w:hAnsi="宋体" w:eastAsia="仿宋_GB2312" w:cs="Times New Roman"/>
          <w:b w:val="0"/>
          <w:color w:val="000000"/>
          <w:sz w:val="30"/>
          <w:szCs w:val="30"/>
        </w:rPr>
      </w:pPr>
    </w:p>
    <w:p>
      <w:pPr>
        <w:snapToGrid w:val="0"/>
        <w:spacing w:line="360" w:lineRule="auto"/>
        <w:ind w:firstLine="600"/>
        <w:rPr>
          <w:rStyle w:val="7"/>
          <w:rFonts w:hint="eastAsia" w:ascii="仿宋_GB2312" w:hAnsi="宋体" w:eastAsia="仿宋_GB2312" w:cs="Times New Roman"/>
          <w:b w:val="0"/>
          <w:color w:val="000000"/>
          <w:sz w:val="30"/>
          <w:szCs w:val="30"/>
        </w:rPr>
      </w:pPr>
      <w:r>
        <w:rPr>
          <w:rStyle w:val="7"/>
          <w:rFonts w:hint="eastAsia" w:ascii="仿宋_GB2312" w:hAnsi="宋体" w:eastAsia="仿宋_GB2312" w:cs="Times New Roman"/>
          <w:b w:val="0"/>
          <w:color w:val="000000"/>
          <w:sz w:val="30"/>
          <w:szCs w:val="30"/>
        </w:rPr>
        <w:t xml:space="preserve">                                   嘉兴学院</w:t>
      </w:r>
    </w:p>
    <w:p>
      <w:pPr>
        <w:tabs>
          <w:tab w:val="left" w:pos="7560"/>
          <w:tab w:val="left" w:pos="7740"/>
        </w:tabs>
        <w:snapToGrid w:val="0"/>
        <w:spacing w:line="360" w:lineRule="auto"/>
        <w:ind w:firstLine="600"/>
        <w:rPr>
          <w:rStyle w:val="7"/>
          <w:rFonts w:hint="eastAsia" w:ascii="仿宋_GB2312" w:hAnsi="宋体" w:eastAsia="仿宋_GB2312" w:cs="Times New Roman"/>
          <w:b w:val="0"/>
          <w:color w:val="000000"/>
          <w:sz w:val="30"/>
          <w:szCs w:val="30"/>
        </w:rPr>
      </w:pPr>
      <w:r>
        <w:rPr>
          <w:rStyle w:val="7"/>
          <w:rFonts w:hint="eastAsia" w:ascii="仿宋_GB2312" w:hAnsi="宋体" w:eastAsia="仿宋_GB2312" w:cs="Times New Roman"/>
          <w:b w:val="0"/>
          <w:color w:val="000000"/>
          <w:sz w:val="30"/>
          <w:szCs w:val="30"/>
        </w:rPr>
        <w:t xml:space="preserve">                                2013年7月19日</w:t>
      </w:r>
    </w:p>
    <w:p>
      <w:pPr>
        <w:snapToGrid w:val="0"/>
        <w:spacing w:line="360" w:lineRule="auto"/>
        <w:rPr>
          <w:rStyle w:val="7"/>
          <w:rFonts w:hint="eastAsia" w:ascii="仿宋_GB2312" w:hAnsi="宋体" w:eastAsia="仿宋_GB2312" w:cs="Times New Roman"/>
          <w:color w:val="000000"/>
          <w:sz w:val="30"/>
          <w:szCs w:val="30"/>
        </w:rPr>
      </w:pPr>
    </w:p>
    <w:p>
      <w:pPr>
        <w:snapToGrid w:val="0"/>
        <w:spacing w:line="360" w:lineRule="auto"/>
        <w:rPr>
          <w:rFonts w:hint="eastAsia" w:ascii="仿宋_GB2312" w:hAnsi="Times New Roman" w:eastAsia="仿宋_GB2312" w:cs="Times New Roman"/>
          <w:sz w:val="28"/>
          <w:szCs w:val="24"/>
        </w:rPr>
      </w:pPr>
    </w:p>
    <w:p>
      <w:pPr>
        <w:snapToGrid w:val="0"/>
        <w:spacing w:after="312" w:afterLines="100" w:line="360" w:lineRule="auto"/>
        <w:jc w:val="center"/>
        <w:rPr>
          <w:rStyle w:val="7"/>
          <w:rFonts w:hint="eastAsia" w:ascii="宋体" w:hAnsi="宋体" w:eastAsia="宋体" w:cs="Times New Roman"/>
          <w:color w:val="000000"/>
          <w:sz w:val="30"/>
          <w:szCs w:val="30"/>
        </w:rPr>
      </w:pPr>
      <w:r>
        <w:rPr>
          <w:rStyle w:val="7"/>
          <w:rFonts w:ascii="黑体" w:hAnsi="宋体" w:eastAsia="黑体" w:cs="Times New Roman"/>
          <w:color w:val="000000"/>
          <w:sz w:val="30"/>
          <w:szCs w:val="30"/>
        </w:rPr>
        <w:br w:type="page"/>
      </w:r>
      <w:r>
        <w:rPr>
          <w:rStyle w:val="7"/>
          <w:rFonts w:hint="eastAsia" w:ascii="宋体" w:hAnsi="宋体" w:eastAsia="宋体" w:cs="Times New Roman"/>
          <w:color w:val="000000"/>
          <w:sz w:val="30"/>
          <w:szCs w:val="30"/>
        </w:rPr>
        <w:t>嘉兴学院青年教师助讲培养暂行办法</w:t>
      </w:r>
    </w:p>
    <w:p>
      <w:pPr>
        <w:widowControl/>
        <w:shd w:val="clear" w:color="auto" w:fill="FFFFFF"/>
        <w:adjustRightInd w:val="0"/>
        <w:snapToGrid w:val="0"/>
        <w:spacing w:line="360" w:lineRule="auto"/>
        <w:ind w:firstLine="602" w:firstLineChars="200"/>
        <w:rPr>
          <w:rFonts w:hint="eastAsia" w:ascii="仿宋_GB2312" w:hAnsi="宋体" w:eastAsia="仿宋_GB2312" w:cs="Times New Roman"/>
          <w:color w:val="000000"/>
          <w:sz w:val="30"/>
          <w:szCs w:val="30"/>
        </w:rPr>
      </w:pPr>
      <w:r>
        <w:rPr>
          <w:rStyle w:val="7"/>
          <w:rFonts w:hint="eastAsia" w:ascii="仿宋_GB2312" w:hAnsi="宋体" w:eastAsia="仿宋_GB2312" w:cs="Times New Roman"/>
          <w:color w:val="000000"/>
          <w:sz w:val="30"/>
          <w:szCs w:val="30"/>
        </w:rPr>
        <w:t xml:space="preserve">第一条  </w:t>
      </w:r>
      <w:r>
        <w:rPr>
          <w:rFonts w:hint="eastAsia" w:ascii="仿宋_GB2312" w:hAnsi="宋体" w:eastAsia="仿宋_GB2312" w:cs="Times New Roman"/>
          <w:color w:val="000000"/>
          <w:sz w:val="30"/>
          <w:szCs w:val="30"/>
        </w:rPr>
        <w:t>为贯彻落实《浙江省教育厅关于在全省高等学校全面实施青年教师助讲培养制度的指导意见》（</w:t>
      </w:r>
      <w:r>
        <w:rPr>
          <w:rFonts w:hint="eastAsia" w:ascii="仿宋_GB2312" w:hAnsi="宋体" w:eastAsia="仿宋_GB2312" w:cs="Tahoma"/>
          <w:color w:val="000000"/>
          <w:kern w:val="0"/>
          <w:sz w:val="30"/>
          <w:szCs w:val="30"/>
        </w:rPr>
        <w:t>浙教高教〔2012〕160号）</w:t>
      </w:r>
      <w:r>
        <w:rPr>
          <w:rFonts w:hint="eastAsia" w:ascii="仿宋_GB2312" w:hAnsi="宋体" w:eastAsia="仿宋_GB2312" w:cs="Times New Roman"/>
          <w:color w:val="000000"/>
          <w:sz w:val="30"/>
          <w:szCs w:val="30"/>
        </w:rPr>
        <w:t>等文件精神，帮助青年教师提高教学水平，切实提高教学质量，学校决定实施青年教师助讲培养制度，特制定本办法。</w:t>
      </w:r>
    </w:p>
    <w:p>
      <w:pPr>
        <w:widowControl/>
        <w:shd w:val="clear" w:color="auto" w:fill="FFFFFF"/>
        <w:adjustRightInd w:val="0"/>
        <w:snapToGrid w:val="0"/>
        <w:spacing w:line="360" w:lineRule="auto"/>
        <w:ind w:firstLine="753" w:firstLineChars="250"/>
        <w:rPr>
          <w:rFonts w:hint="eastAsia" w:ascii="仿宋_GB2312" w:hAnsi="宋体" w:eastAsia="仿宋_GB2312" w:cs="Times New Roman"/>
          <w:color w:val="000000"/>
          <w:sz w:val="30"/>
          <w:szCs w:val="30"/>
        </w:rPr>
      </w:pPr>
      <w:r>
        <w:rPr>
          <w:rFonts w:hint="eastAsia" w:ascii="仿宋_GB2312" w:hAnsi="宋体" w:eastAsia="仿宋_GB2312" w:cs="Times New Roman"/>
          <w:b/>
          <w:color w:val="000000"/>
          <w:sz w:val="30"/>
          <w:szCs w:val="30"/>
        </w:rPr>
        <w:t xml:space="preserve">第二条 </w:t>
      </w:r>
      <w:r>
        <w:rPr>
          <w:rFonts w:hint="eastAsia" w:ascii="仿宋_GB2312" w:hAnsi="宋体" w:eastAsia="仿宋_GB2312" w:cs="Times New Roman"/>
          <w:color w:val="000000"/>
          <w:sz w:val="30"/>
          <w:szCs w:val="30"/>
        </w:rPr>
        <w:t xml:space="preserve"> 青年教师助讲培养制度是指以提高职业道德修养、现代教育理论水平和基本教学技能为主要目的，对新进学校从事教学工作的青年教师专门进行一个时期相对集中培养培训的制度。</w:t>
      </w:r>
    </w:p>
    <w:p>
      <w:pPr>
        <w:pStyle w:val="4"/>
        <w:adjustRightInd w:val="0"/>
        <w:snapToGrid w:val="0"/>
        <w:spacing w:before="0" w:beforeAutospacing="0" w:after="0" w:afterAutospacing="0" w:line="360" w:lineRule="auto"/>
        <w:ind w:firstLine="596" w:firstLineChars="198"/>
        <w:jc w:val="both"/>
        <w:rPr>
          <w:rFonts w:hint="eastAsia" w:ascii="仿宋_GB2312" w:eastAsia="仿宋_GB2312" w:cs="Times New Roman"/>
          <w:b/>
          <w:color w:val="000000"/>
          <w:kern w:val="2"/>
          <w:sz w:val="30"/>
          <w:szCs w:val="30"/>
        </w:rPr>
      </w:pPr>
      <w:r>
        <w:rPr>
          <w:rFonts w:hint="eastAsia" w:ascii="仿宋_GB2312" w:eastAsia="仿宋_GB2312" w:cs="Times New Roman"/>
          <w:b/>
          <w:color w:val="000000"/>
          <w:kern w:val="2"/>
          <w:sz w:val="30"/>
          <w:szCs w:val="30"/>
        </w:rPr>
        <w:t>第三条  培养对象</w:t>
      </w:r>
    </w:p>
    <w:p>
      <w:pPr>
        <w:pStyle w:val="4"/>
        <w:adjustRightInd w:val="0"/>
        <w:snapToGrid w:val="0"/>
        <w:spacing w:before="0" w:beforeAutospacing="0" w:after="0" w:afterAutospacing="0" w:line="360" w:lineRule="auto"/>
        <w:ind w:firstLine="600" w:firstLineChars="200"/>
        <w:jc w:val="both"/>
        <w:rPr>
          <w:rFonts w:hint="eastAsia" w:ascii="仿宋_GB2312" w:eastAsia="仿宋_GB2312" w:cs="Times New Roman"/>
          <w:color w:val="000000"/>
          <w:kern w:val="2"/>
          <w:sz w:val="30"/>
          <w:szCs w:val="30"/>
        </w:rPr>
      </w:pPr>
      <w:r>
        <w:rPr>
          <w:rFonts w:hint="eastAsia" w:ascii="仿宋_GB2312" w:eastAsia="仿宋_GB2312" w:cs="Times New Roman"/>
          <w:color w:val="000000"/>
          <w:kern w:val="2"/>
          <w:sz w:val="30"/>
          <w:szCs w:val="30"/>
        </w:rPr>
        <w:t>（一）新聘用到学校从事教学工作</w:t>
      </w:r>
      <w:r>
        <w:rPr>
          <w:rFonts w:hint="eastAsia" w:ascii="仿宋_GB2312" w:eastAsia="仿宋_GB2312" w:cs="Tahoma"/>
          <w:color w:val="000000"/>
          <w:sz w:val="30"/>
          <w:szCs w:val="30"/>
        </w:rPr>
        <w:t>（</w:t>
      </w:r>
      <w:r>
        <w:rPr>
          <w:rFonts w:hint="eastAsia" w:ascii="仿宋_GB2312" w:eastAsia="仿宋_GB2312"/>
          <w:color w:val="000000"/>
          <w:sz w:val="30"/>
          <w:szCs w:val="30"/>
        </w:rPr>
        <w:t>含理论教学和实验、实践教学</w:t>
      </w:r>
      <w:r>
        <w:rPr>
          <w:rFonts w:hint="eastAsia" w:ascii="仿宋_GB2312" w:eastAsia="仿宋_GB2312" w:cs="Tahoma"/>
          <w:color w:val="000000"/>
          <w:sz w:val="30"/>
          <w:szCs w:val="30"/>
        </w:rPr>
        <w:t>）</w:t>
      </w:r>
      <w:r>
        <w:rPr>
          <w:rFonts w:hint="eastAsia" w:ascii="仿宋_GB2312" w:eastAsia="仿宋_GB2312" w:cs="Times New Roman"/>
          <w:color w:val="000000"/>
          <w:kern w:val="2"/>
          <w:sz w:val="30"/>
          <w:szCs w:val="30"/>
        </w:rPr>
        <w:t>的在岗教师；</w:t>
      </w:r>
    </w:p>
    <w:p>
      <w:pPr>
        <w:pStyle w:val="4"/>
        <w:adjustRightInd w:val="0"/>
        <w:snapToGrid w:val="0"/>
        <w:spacing w:before="0" w:beforeAutospacing="0" w:after="0" w:afterAutospacing="0" w:line="360" w:lineRule="auto"/>
        <w:ind w:firstLine="600" w:firstLineChars="200"/>
        <w:jc w:val="both"/>
        <w:rPr>
          <w:rFonts w:hint="eastAsia" w:ascii="仿宋_GB2312" w:eastAsia="仿宋_GB2312" w:cs="Times New Roman"/>
          <w:color w:val="000000"/>
          <w:kern w:val="2"/>
          <w:sz w:val="30"/>
          <w:szCs w:val="30"/>
        </w:rPr>
      </w:pPr>
      <w:r>
        <w:rPr>
          <w:rFonts w:hint="eastAsia" w:ascii="仿宋_GB2312" w:eastAsia="仿宋_GB2312" w:cs="Times New Roman"/>
          <w:color w:val="000000"/>
          <w:kern w:val="2"/>
          <w:sz w:val="30"/>
          <w:szCs w:val="30"/>
        </w:rPr>
        <w:t>（二）高校教学经历不足3年，年龄在35周岁以下（含35周岁）,未接受过或者未完成我校青年教师导师制全程培养的在岗教师；</w:t>
      </w:r>
    </w:p>
    <w:p>
      <w:pPr>
        <w:pStyle w:val="4"/>
        <w:adjustRightInd w:val="0"/>
        <w:snapToGrid w:val="0"/>
        <w:spacing w:before="0" w:beforeAutospacing="0" w:after="0" w:afterAutospacing="0" w:line="360" w:lineRule="auto"/>
        <w:ind w:firstLine="600" w:firstLineChars="200"/>
        <w:jc w:val="both"/>
        <w:rPr>
          <w:rFonts w:hint="eastAsia" w:ascii="仿宋_GB2312" w:eastAsia="仿宋_GB2312" w:cs="Times New Roman"/>
          <w:color w:val="000000"/>
          <w:kern w:val="2"/>
          <w:sz w:val="30"/>
          <w:szCs w:val="30"/>
        </w:rPr>
      </w:pPr>
      <w:r>
        <w:rPr>
          <w:rFonts w:hint="eastAsia" w:ascii="仿宋_GB2312" w:eastAsia="仿宋_GB2312" w:cs="Times New Roman"/>
          <w:color w:val="000000"/>
          <w:kern w:val="2"/>
          <w:sz w:val="30"/>
          <w:szCs w:val="30"/>
        </w:rPr>
        <w:t>（三）学校认为有必要进行助讲培养的中青年教师。</w:t>
      </w:r>
    </w:p>
    <w:p>
      <w:pPr>
        <w:pStyle w:val="4"/>
        <w:adjustRightInd w:val="0"/>
        <w:snapToGrid w:val="0"/>
        <w:spacing w:before="0" w:beforeAutospacing="0" w:after="0" w:afterAutospacing="0" w:line="360" w:lineRule="auto"/>
        <w:ind w:firstLine="602" w:firstLineChars="200"/>
        <w:jc w:val="both"/>
        <w:rPr>
          <w:rFonts w:hint="eastAsia" w:ascii="仿宋_GB2312" w:eastAsia="仿宋_GB2312"/>
          <w:b/>
          <w:color w:val="000000"/>
          <w:sz w:val="30"/>
          <w:szCs w:val="30"/>
        </w:rPr>
      </w:pPr>
      <w:r>
        <w:rPr>
          <w:rFonts w:hint="eastAsia" w:ascii="仿宋_GB2312" w:eastAsia="仿宋_GB2312"/>
          <w:b/>
          <w:color w:val="000000"/>
          <w:sz w:val="30"/>
          <w:szCs w:val="30"/>
        </w:rPr>
        <w:t>第四条  培养对象的基本要求</w:t>
      </w:r>
    </w:p>
    <w:p>
      <w:pPr>
        <w:pStyle w:val="4"/>
        <w:adjustRightInd w:val="0"/>
        <w:snapToGrid w:val="0"/>
        <w:spacing w:before="0" w:beforeAutospacing="0" w:after="0" w:afterAutospacing="0" w:line="360" w:lineRule="auto"/>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rPr>
        <w:t>助讲培养期间，被培养青年教师应完成以下工作：</w:t>
      </w:r>
    </w:p>
    <w:p>
      <w:pPr>
        <w:pStyle w:val="4"/>
        <w:adjustRightInd w:val="0"/>
        <w:snapToGrid w:val="0"/>
        <w:spacing w:before="0" w:beforeAutospacing="0" w:after="0" w:afterAutospacing="0" w:line="360" w:lineRule="auto"/>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rPr>
        <w:t>（一）参加省教育厅组织的青年教师岗前培训和学校主办的新上岗教师教学基本要求达标培训；</w:t>
      </w:r>
    </w:p>
    <w:p>
      <w:pPr>
        <w:pStyle w:val="4"/>
        <w:adjustRightInd w:val="0"/>
        <w:snapToGrid w:val="0"/>
        <w:spacing w:before="0" w:beforeAutospacing="0" w:after="0" w:afterAutospacing="0" w:line="360" w:lineRule="auto"/>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rPr>
        <w:t>（二）积极参加学校和教学单位组织的各种教学研讨、观摩活动和科研学术活动，努力提高自身的教学水平；</w:t>
      </w:r>
    </w:p>
    <w:p>
      <w:pPr>
        <w:snapToGrid w:val="0"/>
        <w:spacing w:line="360" w:lineRule="auto"/>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（三）培养对象在指导教师的指导下，承担拟开课程有关教学辅助环节的工作（辅导、答疑、批改作业、讲解习题课、指导实验等），全面接受教学基本功、基本技能训练；</w:t>
      </w:r>
    </w:p>
    <w:p>
      <w:pPr>
        <w:pStyle w:val="4"/>
        <w:adjustRightInd w:val="0"/>
        <w:snapToGrid w:val="0"/>
        <w:spacing w:before="0" w:beforeAutospacing="0" w:after="0" w:afterAutospacing="0" w:line="360" w:lineRule="auto"/>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rPr>
        <w:t>（四）培养期限一般为1年，具有博士学位的新教师，根据实际情况可以酌情缩短为半年。由青年教师申请和指导教师推荐，经考核成绩优异者可缩短为半年，需要继续培养的可延长至一年半或两年；</w:t>
      </w:r>
    </w:p>
    <w:p>
      <w:pPr>
        <w:pStyle w:val="4"/>
        <w:adjustRightInd w:val="0"/>
        <w:snapToGrid w:val="0"/>
        <w:spacing w:before="0" w:beforeAutospacing="0" w:after="0" w:afterAutospacing="0" w:line="360" w:lineRule="auto"/>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rPr>
        <w:t>（五）承担部分课时的试讲，试讲课时不超过4课时（含教学过关考核课时）。试讲课时不计为教学工作量；</w:t>
      </w:r>
    </w:p>
    <w:p>
      <w:pPr>
        <w:pStyle w:val="4"/>
        <w:adjustRightInd w:val="0"/>
        <w:snapToGrid w:val="0"/>
        <w:spacing w:before="0" w:beforeAutospacing="0" w:after="0" w:afterAutospacing="0" w:line="360" w:lineRule="auto"/>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rPr>
        <w:t>（六）至少全程跟听指导教师一门课程，做好听课笔记；</w:t>
      </w:r>
    </w:p>
    <w:p>
      <w:pPr>
        <w:pStyle w:val="4"/>
        <w:adjustRightInd w:val="0"/>
        <w:snapToGrid w:val="0"/>
        <w:spacing w:before="0" w:beforeAutospacing="0" w:after="0" w:afterAutospacing="0" w:line="360" w:lineRule="auto"/>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rPr>
        <w:t>（七）协助完成指导教师交给的其它教学工作任务；</w:t>
      </w:r>
    </w:p>
    <w:p>
      <w:pPr>
        <w:pStyle w:val="4"/>
        <w:adjustRightInd w:val="0"/>
        <w:snapToGrid w:val="0"/>
        <w:spacing w:before="0" w:beforeAutospacing="0" w:after="0" w:afterAutospacing="0" w:line="360" w:lineRule="auto"/>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rPr>
        <w:t>（八）在助讲培养期结束时，应提交拟开课程的讲稿、习题解、实验报告等开课前教学准备的基本教学资料。</w:t>
      </w:r>
    </w:p>
    <w:p>
      <w:pPr>
        <w:pStyle w:val="4"/>
        <w:adjustRightInd w:val="0"/>
        <w:snapToGrid w:val="0"/>
        <w:spacing w:before="0" w:beforeAutospacing="0" w:after="0" w:afterAutospacing="0" w:line="360" w:lineRule="auto"/>
        <w:ind w:firstLine="602" w:firstLineChars="200"/>
        <w:jc w:val="both"/>
        <w:rPr>
          <w:rFonts w:hint="eastAsia" w:ascii="仿宋_GB2312" w:eastAsia="仿宋_GB2312"/>
          <w:color w:val="000000"/>
          <w:sz w:val="30"/>
          <w:szCs w:val="30"/>
        </w:rPr>
      </w:pPr>
      <w:r>
        <w:rPr>
          <w:rFonts w:hint="eastAsia" w:ascii="仿宋_GB2312" w:eastAsia="仿宋_GB2312"/>
          <w:b/>
          <w:color w:val="000000"/>
          <w:sz w:val="30"/>
          <w:szCs w:val="30"/>
        </w:rPr>
        <w:t>第五条</w:t>
      </w:r>
      <w:r>
        <w:rPr>
          <w:rFonts w:hint="eastAsia" w:ascii="仿宋_GB2312" w:eastAsia="仿宋_GB2312"/>
          <w:color w:val="000000"/>
          <w:sz w:val="30"/>
          <w:szCs w:val="30"/>
        </w:rPr>
        <w:t xml:space="preserve">  </w:t>
      </w:r>
      <w:r>
        <w:rPr>
          <w:rFonts w:hint="eastAsia" w:ascii="仿宋_GB2312" w:eastAsia="仿宋_GB2312"/>
          <w:b/>
          <w:color w:val="000000"/>
          <w:sz w:val="30"/>
          <w:szCs w:val="30"/>
        </w:rPr>
        <w:t>实施单位及导师配备</w:t>
      </w:r>
    </w:p>
    <w:p>
      <w:pPr>
        <w:pStyle w:val="4"/>
        <w:adjustRightInd w:val="0"/>
        <w:snapToGrid w:val="0"/>
        <w:spacing w:before="0" w:beforeAutospacing="0" w:after="0" w:afterAutospacing="0" w:line="360" w:lineRule="auto"/>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rPr>
        <w:t>培养实施单位为青年教师所在的教学单位。教学单位须为每个培养对象确定指导教师。每名指导教师一般只指导1名青年教师，因特殊情况可增加被指导人数，但至多不超过2名。</w:t>
      </w:r>
    </w:p>
    <w:p>
      <w:pPr>
        <w:pStyle w:val="4"/>
        <w:adjustRightInd w:val="0"/>
        <w:snapToGrid w:val="0"/>
        <w:spacing w:before="0" w:beforeAutospacing="0" w:after="0" w:afterAutospacing="0" w:line="360" w:lineRule="auto"/>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rPr>
        <w:t>指导老师任职条件和工作要求：</w:t>
      </w:r>
    </w:p>
    <w:p>
      <w:pPr>
        <w:pStyle w:val="4"/>
        <w:adjustRightInd w:val="0"/>
        <w:snapToGrid w:val="0"/>
        <w:spacing w:before="0" w:beforeAutospacing="0" w:after="0" w:afterAutospacing="0" w:line="360" w:lineRule="auto"/>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rPr>
        <w:t>（一）指导教师应当具有高尚的师德、强烈的事业心和责任感，教学能力强，教学效果好，具有副教授以上职称，教龄5年以上；</w:t>
      </w:r>
    </w:p>
    <w:p>
      <w:pPr>
        <w:pStyle w:val="4"/>
        <w:adjustRightInd w:val="0"/>
        <w:snapToGrid w:val="0"/>
        <w:spacing w:before="0" w:beforeAutospacing="0" w:after="0" w:afterAutospacing="0" w:line="360" w:lineRule="auto"/>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rPr>
        <w:t>（二）关心青年教师的思想状况和师德修养，培养青年教师严谨的教学态度和对学生高度负责的执教精神；</w:t>
      </w:r>
    </w:p>
    <w:p>
      <w:pPr>
        <w:pStyle w:val="4"/>
        <w:adjustRightInd w:val="0"/>
        <w:snapToGrid w:val="0"/>
        <w:spacing w:before="0" w:beforeAutospacing="0" w:after="0" w:afterAutospacing="0" w:line="360" w:lineRule="auto"/>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rPr>
        <w:t>（三）从教学的各个环节（包括听课、备课、编写教案或讲义、试讲、辅导、答疑、批改作业、实验与实习等）入手，对青年教师进行认真具体的指导；</w:t>
      </w:r>
    </w:p>
    <w:p>
      <w:pPr>
        <w:snapToGrid w:val="0"/>
        <w:spacing w:line="360" w:lineRule="auto"/>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（四）指导青年教师参加专业建设、课程建设、教学团队建设和教学研究等教研活动；</w:t>
      </w:r>
    </w:p>
    <w:p>
      <w:pPr>
        <w:pStyle w:val="4"/>
        <w:adjustRightInd w:val="0"/>
        <w:snapToGrid w:val="0"/>
        <w:spacing w:before="0" w:beforeAutospacing="0" w:after="0" w:afterAutospacing="0" w:line="360" w:lineRule="auto"/>
        <w:ind w:firstLine="600" w:firstLineChars="200"/>
        <w:jc w:val="both"/>
        <w:rPr>
          <w:rFonts w:hint="eastAsia" w:ascii="仿宋_GB2312" w:eastAsia="仿宋_GB2312" w:cs="Times New Roman"/>
          <w:color w:val="000000"/>
          <w:kern w:val="2"/>
          <w:sz w:val="30"/>
          <w:szCs w:val="30"/>
        </w:rPr>
      </w:pPr>
      <w:r>
        <w:rPr>
          <w:rFonts w:hint="eastAsia" w:ascii="仿宋_GB2312" w:eastAsia="仿宋_GB2312"/>
          <w:color w:val="000000"/>
          <w:sz w:val="30"/>
          <w:szCs w:val="30"/>
        </w:rPr>
        <w:t>（五）</w:t>
      </w:r>
      <w:r>
        <w:rPr>
          <w:rFonts w:hint="eastAsia" w:ascii="仿宋_GB2312" w:eastAsia="仿宋_GB2312" w:cs="Times New Roman"/>
          <w:color w:val="000000"/>
          <w:kern w:val="2"/>
          <w:sz w:val="30"/>
          <w:szCs w:val="30"/>
        </w:rPr>
        <w:t>对青年教师培养期间完成教学辅助环节的情况做出鉴定，写入《青年教师助讲培养工作记录本》并</w:t>
      </w:r>
      <w:r>
        <w:rPr>
          <w:rFonts w:hint="eastAsia" w:ascii="仿宋_GB2312" w:eastAsia="仿宋_GB2312"/>
          <w:color w:val="000000"/>
          <w:sz w:val="30"/>
          <w:szCs w:val="30"/>
        </w:rPr>
        <w:t>对青年教师是否具有开课能力提出意见和建议，对达不到培养要求的青年教师提出延长培养期等建议。</w:t>
      </w:r>
    </w:p>
    <w:p>
      <w:pPr>
        <w:pStyle w:val="4"/>
        <w:adjustRightInd w:val="0"/>
        <w:snapToGrid w:val="0"/>
        <w:spacing w:before="0" w:beforeAutospacing="0" w:after="0" w:afterAutospacing="0" w:line="360" w:lineRule="auto"/>
        <w:ind w:firstLine="602" w:firstLineChars="200"/>
        <w:jc w:val="both"/>
        <w:rPr>
          <w:rFonts w:hint="eastAsia" w:ascii="仿宋_GB2312" w:eastAsia="仿宋_GB2312"/>
          <w:color w:val="000000"/>
          <w:sz w:val="30"/>
          <w:szCs w:val="30"/>
        </w:rPr>
      </w:pPr>
      <w:r>
        <w:rPr>
          <w:rFonts w:hint="eastAsia" w:ascii="仿宋_GB2312" w:eastAsia="仿宋_GB2312"/>
          <w:b/>
          <w:color w:val="000000"/>
          <w:sz w:val="30"/>
          <w:szCs w:val="30"/>
        </w:rPr>
        <w:t>第六条</w:t>
      </w:r>
      <w:r>
        <w:rPr>
          <w:rFonts w:hint="eastAsia" w:ascii="仿宋_GB2312" w:eastAsia="仿宋_GB2312"/>
          <w:color w:val="000000"/>
          <w:sz w:val="30"/>
          <w:szCs w:val="30"/>
        </w:rPr>
        <w:t xml:space="preserve">  </w:t>
      </w:r>
      <w:r>
        <w:rPr>
          <w:rFonts w:hint="eastAsia" w:ascii="仿宋_GB2312" w:eastAsia="仿宋_GB2312"/>
          <w:b/>
          <w:color w:val="000000"/>
          <w:sz w:val="30"/>
          <w:szCs w:val="30"/>
        </w:rPr>
        <w:t>考核及结果应用</w:t>
      </w:r>
    </w:p>
    <w:p>
      <w:pPr>
        <w:pStyle w:val="4"/>
        <w:adjustRightInd w:val="0"/>
        <w:snapToGrid w:val="0"/>
        <w:spacing w:before="0" w:beforeAutospacing="0" w:after="0" w:afterAutospacing="0" w:line="360" w:lineRule="auto"/>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rPr>
        <w:t>（一）青年教师在助讲培养结束时要对自己的助讲工作进行总结，向教学单位提交工作小结、听课笔记及其它培养过程完成情况的材料；</w:t>
      </w:r>
    </w:p>
    <w:p>
      <w:pPr>
        <w:pStyle w:val="4"/>
        <w:adjustRightInd w:val="0"/>
        <w:snapToGrid w:val="0"/>
        <w:spacing w:before="0" w:beforeAutospacing="0" w:after="0" w:afterAutospacing="0" w:line="360" w:lineRule="auto"/>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rPr>
        <w:t>（二）培养过程完成后，教学单位对培养对象进行考核，考核合格者报教师教学发展中心。由学校教师教学发展中心统一安排，聘请有关专家对其课堂授课质量进行评价，并给出考核意见；</w:t>
      </w:r>
    </w:p>
    <w:p>
      <w:pPr>
        <w:pStyle w:val="4"/>
        <w:adjustRightInd w:val="0"/>
        <w:snapToGrid w:val="0"/>
        <w:spacing w:before="0" w:beforeAutospacing="0" w:after="0" w:afterAutospacing="0" w:line="360" w:lineRule="auto"/>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rPr>
        <w:t>（三）考核每学期进行一次。考核结果分合格、不合格两类。合格类分为优秀、良好、一般三个等级。学校人事处根据学校教师教学发展中心的考核意见，在考核结果为合格的基础上认定其主讲教师资格。考核不合格的，由学校根据实际及相关规定，对其作延长助讲培养期、调整岗位或解除聘用合同等处理。</w:t>
      </w:r>
    </w:p>
    <w:p>
      <w:pPr>
        <w:pStyle w:val="4"/>
        <w:adjustRightInd w:val="0"/>
        <w:snapToGrid w:val="0"/>
        <w:spacing w:before="0" w:beforeAutospacing="0" w:after="0" w:afterAutospacing="0" w:line="360" w:lineRule="auto"/>
        <w:ind w:firstLine="602" w:firstLineChars="200"/>
        <w:jc w:val="both"/>
        <w:rPr>
          <w:rFonts w:hint="eastAsia" w:ascii="仿宋_GB2312" w:eastAsia="仿宋_GB2312"/>
          <w:color w:val="000000"/>
          <w:sz w:val="30"/>
          <w:szCs w:val="30"/>
        </w:rPr>
      </w:pPr>
      <w:r>
        <w:rPr>
          <w:rFonts w:hint="eastAsia" w:ascii="仿宋_GB2312" w:eastAsia="仿宋_GB2312"/>
          <w:b/>
          <w:color w:val="000000"/>
          <w:sz w:val="30"/>
          <w:szCs w:val="30"/>
        </w:rPr>
        <w:t>第七条  其他说明</w:t>
      </w:r>
    </w:p>
    <w:p>
      <w:pPr>
        <w:pStyle w:val="4"/>
        <w:adjustRightInd w:val="0"/>
        <w:snapToGrid w:val="0"/>
        <w:spacing w:before="0" w:beforeAutospacing="0" w:after="0" w:afterAutospacing="0" w:line="360" w:lineRule="auto"/>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rPr>
        <w:t>（一）青年教师参加助讲培养期间，原则上不安排其独立承担教学任务，青年教师在助讲期间无课程授课的工作量要求。其教学工作年度考核参照助讲教师培养考核结果及相关工作表现确定；</w:t>
      </w:r>
    </w:p>
    <w:p>
      <w:pPr>
        <w:pStyle w:val="4"/>
        <w:adjustRightInd w:val="0"/>
        <w:snapToGrid w:val="0"/>
        <w:spacing w:before="0" w:beforeAutospacing="0" w:after="0" w:afterAutospacing="0" w:line="360" w:lineRule="auto"/>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rPr>
        <w:t>（二）教务部门在安排新学期教学工作时，对任课教师的资格进行审查，对未取得授课资格的教师上课，应取消该教师的授课安排。学院若因特殊情况，确实需要安排新教师授课的，应事先报学校人事和教务部门，经考核审查批准后方可排课，但需同时完成规定的助讲培养期全部工作；</w:t>
      </w:r>
    </w:p>
    <w:p>
      <w:pPr>
        <w:pStyle w:val="4"/>
        <w:adjustRightInd w:val="0"/>
        <w:snapToGrid w:val="0"/>
        <w:spacing w:before="0" w:beforeAutospacing="0" w:after="0" w:afterAutospacing="0" w:line="360" w:lineRule="auto"/>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rPr>
        <w:t>（三）思政辅导员的培养工作按学校相关办法执行；</w:t>
      </w:r>
    </w:p>
    <w:p>
      <w:pPr>
        <w:snapToGrid w:val="0"/>
        <w:spacing w:line="360" w:lineRule="auto"/>
        <w:ind w:firstLine="600" w:firstLineChars="200"/>
        <w:rPr>
          <w:rFonts w:hint="eastAsia" w:ascii="仿宋_GB2312" w:hAnsi="宋体" w:eastAsia="仿宋_GB2312" w:cs="宋体"/>
          <w:color w:val="000000"/>
          <w:kern w:val="0"/>
          <w:sz w:val="30"/>
          <w:szCs w:val="30"/>
        </w:rPr>
      </w:pPr>
      <w:r>
        <w:rPr>
          <w:rFonts w:hint="eastAsia" w:ascii="仿宋_GB2312" w:hAnsi="宋体" w:eastAsia="仿宋_GB2312" w:cs="宋体"/>
          <w:color w:val="000000"/>
          <w:kern w:val="0"/>
          <w:sz w:val="30"/>
          <w:szCs w:val="30"/>
        </w:rPr>
        <w:t>（四）指导教师指导一个新教师的工作量按每学期20学时计算；</w:t>
      </w:r>
    </w:p>
    <w:p>
      <w:pPr>
        <w:pStyle w:val="4"/>
        <w:adjustRightInd w:val="0"/>
        <w:snapToGrid w:val="0"/>
        <w:spacing w:before="0" w:beforeAutospacing="0" w:after="0" w:afterAutospacing="0" w:line="360" w:lineRule="auto"/>
        <w:ind w:firstLine="600" w:firstLineChars="200"/>
        <w:jc w:val="both"/>
        <w:rPr>
          <w:rFonts w:hint="eastAsia" w:ascii="仿宋_GB2312" w:eastAsia="仿宋_GB2312"/>
          <w:color w:val="000000"/>
          <w:sz w:val="30"/>
          <w:szCs w:val="30"/>
        </w:rPr>
      </w:pPr>
      <w:r>
        <w:rPr>
          <w:rFonts w:hint="eastAsia" w:ascii="仿宋_GB2312" w:eastAsia="仿宋_GB2312"/>
          <w:color w:val="000000"/>
          <w:sz w:val="30"/>
          <w:szCs w:val="30"/>
        </w:rPr>
        <w:t>（五）每学期期末前，各教学单位进行被培养人员的考核工作，落实新培养人员的指导教师和培养任务，在下一个学期开学两周内将本单位被培养人员的考核情况报教师教育发展中心，将新培养人员的情况及其指导教师名单报人事处备案。</w:t>
      </w:r>
    </w:p>
    <w:p>
      <w:pPr>
        <w:pStyle w:val="4"/>
        <w:adjustRightInd w:val="0"/>
        <w:snapToGrid w:val="0"/>
        <w:spacing w:before="0" w:beforeAutospacing="0" w:after="0" w:afterAutospacing="0" w:line="360" w:lineRule="auto"/>
        <w:ind w:firstLine="602" w:firstLineChars="200"/>
        <w:jc w:val="both"/>
        <w:rPr>
          <w:rFonts w:hint="eastAsia" w:ascii="仿宋_GB2312" w:eastAsia="仿宋_GB2312"/>
          <w:color w:val="000000"/>
          <w:sz w:val="30"/>
          <w:szCs w:val="30"/>
        </w:rPr>
      </w:pPr>
      <w:r>
        <w:rPr>
          <w:rFonts w:hint="eastAsia" w:ascii="仿宋_GB2312" w:eastAsia="仿宋_GB2312"/>
          <w:b/>
          <w:color w:val="000000"/>
          <w:sz w:val="30"/>
          <w:szCs w:val="30"/>
        </w:rPr>
        <w:t xml:space="preserve">第八条  </w:t>
      </w:r>
      <w:r>
        <w:rPr>
          <w:rFonts w:hint="eastAsia" w:ascii="仿宋_GB2312" w:eastAsia="仿宋_GB2312"/>
          <w:color w:val="000000"/>
          <w:sz w:val="30"/>
          <w:szCs w:val="30"/>
        </w:rPr>
        <w:t>本办法自颁发之日起施行，学校此前有关规定与本办法不一致的，按本办法执行。</w:t>
      </w:r>
    </w:p>
    <w:p>
      <w:pPr>
        <w:pStyle w:val="4"/>
        <w:adjustRightInd w:val="0"/>
        <w:snapToGrid w:val="0"/>
        <w:spacing w:before="0" w:beforeAutospacing="0" w:after="0" w:afterAutospacing="0" w:line="360" w:lineRule="auto"/>
        <w:ind w:firstLine="602" w:firstLineChars="200"/>
        <w:jc w:val="both"/>
        <w:rPr>
          <w:rFonts w:hint="eastAsia" w:ascii="仿宋_GB2312" w:eastAsia="仿宋_GB2312"/>
          <w:color w:val="000000"/>
          <w:sz w:val="30"/>
          <w:szCs w:val="30"/>
        </w:rPr>
      </w:pPr>
      <w:r>
        <w:rPr>
          <w:rFonts w:hint="eastAsia" w:ascii="仿宋_GB2312" w:eastAsia="仿宋_GB2312"/>
          <w:b/>
          <w:color w:val="000000"/>
          <w:sz w:val="30"/>
          <w:szCs w:val="30"/>
        </w:rPr>
        <w:t xml:space="preserve">第九条  </w:t>
      </w:r>
      <w:r>
        <w:rPr>
          <w:rFonts w:hint="eastAsia" w:ascii="仿宋_GB2312" w:eastAsia="仿宋_GB2312"/>
          <w:color w:val="000000"/>
          <w:sz w:val="30"/>
          <w:szCs w:val="30"/>
        </w:rPr>
        <w:t>本办法由学校人事处负责解释。</w:t>
      </w:r>
    </w:p>
    <w:p>
      <w:pPr>
        <w:adjustRightInd w:val="0"/>
        <w:snapToGrid w:val="0"/>
        <w:spacing w:line="360" w:lineRule="auto"/>
        <w:rPr>
          <w:rFonts w:hint="eastAsia" w:ascii="仿宋_GB2312" w:hAnsi="宋体" w:eastAsia="仿宋_GB2312" w:cs="宋体"/>
          <w:color w:val="000000"/>
          <w:kern w:val="0"/>
          <w:sz w:val="30"/>
          <w:szCs w:val="30"/>
        </w:rPr>
      </w:pPr>
    </w:p>
    <w:p>
      <w:pPr>
        <w:adjustRightInd w:val="0"/>
        <w:snapToGrid w:val="0"/>
        <w:spacing w:line="360" w:lineRule="auto"/>
        <w:rPr>
          <w:rFonts w:hint="eastAsia" w:ascii="仿宋_GB2312" w:hAnsi="宋体" w:eastAsia="仿宋_GB2312" w:cs="宋体"/>
          <w:color w:val="000000"/>
          <w:kern w:val="0"/>
          <w:sz w:val="30"/>
          <w:szCs w:val="30"/>
        </w:rPr>
      </w:pPr>
    </w:p>
    <w:p>
      <w:pPr>
        <w:adjustRightInd w:val="0"/>
        <w:snapToGrid w:val="0"/>
        <w:spacing w:line="360" w:lineRule="auto"/>
        <w:rPr>
          <w:rFonts w:hint="eastAsia" w:ascii="仿宋_GB2312" w:hAnsi="宋体" w:eastAsia="仿宋_GB2312" w:cs="宋体"/>
          <w:color w:val="000000"/>
          <w:kern w:val="0"/>
          <w:sz w:val="30"/>
          <w:szCs w:val="30"/>
        </w:rPr>
      </w:pPr>
    </w:p>
    <w:p>
      <w:pPr>
        <w:adjustRightInd w:val="0"/>
        <w:snapToGrid w:val="0"/>
        <w:spacing w:line="640" w:lineRule="exact"/>
        <w:rPr>
          <w:rFonts w:hint="eastAsia" w:ascii="仿宋_GB2312" w:hAnsi="宋体" w:eastAsia="仿宋_GB2312" w:cs="宋体"/>
          <w:color w:val="000000"/>
          <w:kern w:val="0"/>
          <w:sz w:val="30"/>
          <w:szCs w:val="30"/>
        </w:rPr>
      </w:pPr>
    </w:p>
    <w:p>
      <w:pPr>
        <w:spacing w:line="360" w:lineRule="exact"/>
        <w:rPr>
          <w:rFonts w:hint="eastAsia" w:ascii="仿宋_GB2312" w:hAnsi="Times New Roman" w:eastAsia="仿宋_GB2312" w:cs="Times New Roman"/>
          <w:sz w:val="30"/>
          <w:szCs w:val="30"/>
        </w:rPr>
      </w:pPr>
      <w:r>
        <w:rPr>
          <w:rFonts w:hint="eastAsia" w:ascii="仿宋_GB2312" w:hAnsi="Times New Roman" w:eastAsia="仿宋_GB2312" w:cs="Times New Roman"/>
          <w:szCs w:val="24"/>
        </w:rPr>
        <w:t>───────────────────────────────────────</w:t>
      </w:r>
      <w:r>
        <w:rPr>
          <w:rFonts w:hint="eastAsia" w:ascii="仿宋_GB2312" w:hAnsi="Times New Roman" w:eastAsia="仿宋_GB2312" w:cs="Times New Roman"/>
          <w:sz w:val="30"/>
          <w:szCs w:val="30"/>
        </w:rPr>
        <w:t xml:space="preserve">  嘉兴学院办公室     </w:t>
      </w:r>
      <w:r>
        <w:rPr>
          <w:rFonts w:ascii="仿宋_GB2312" w:hAnsi="Times New Roman" w:eastAsia="仿宋_GB2312" w:cs="Times New Roman"/>
          <w:sz w:val="30"/>
          <w:szCs w:val="30"/>
        </w:rPr>
        <w:t xml:space="preserve">   </w:t>
      </w:r>
      <w:r>
        <w:rPr>
          <w:rFonts w:hint="eastAsia" w:ascii="仿宋_GB2312" w:hAnsi="Times New Roman" w:eastAsia="仿宋_GB2312" w:cs="Times New Roman"/>
          <w:sz w:val="30"/>
          <w:szCs w:val="30"/>
        </w:rPr>
        <w:t xml:space="preserve">    </w:t>
      </w:r>
      <w:r>
        <w:rPr>
          <w:rFonts w:ascii="仿宋_GB2312" w:hAnsi="Times New Roman" w:eastAsia="仿宋_GB2312" w:cs="Times New Roman"/>
          <w:sz w:val="30"/>
          <w:szCs w:val="30"/>
        </w:rPr>
        <w:t xml:space="preserve"> </w:t>
      </w:r>
      <w:r>
        <w:rPr>
          <w:rFonts w:hint="eastAsia" w:ascii="仿宋_GB2312" w:hAnsi="Times New Roman" w:eastAsia="仿宋_GB2312" w:cs="Times New Roman"/>
          <w:sz w:val="30"/>
          <w:szCs w:val="30"/>
        </w:rPr>
        <w:t xml:space="preserve">         2013年7月19日印发</w:t>
      </w:r>
    </w:p>
    <w:p>
      <w:pPr>
        <w:jc w:val="both"/>
        <w:rPr>
          <w:rFonts w:asciiTheme="minorEastAsia" w:hAnsiTheme="minorEastAsia"/>
          <w:sz w:val="28"/>
          <w:szCs w:val="28"/>
        </w:rPr>
      </w:pPr>
      <w:r>
        <w:rPr>
          <w:rFonts w:hint="eastAsia" w:ascii="仿宋_GB2312" w:hAnsi="Times New Roman" w:eastAsia="仿宋_GB2312" w:cs="Times New Roman"/>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59"/>
    <w:rsid w:val="000A3CA6"/>
    <w:rsid w:val="000E389E"/>
    <w:rsid w:val="0010503E"/>
    <w:rsid w:val="00122E97"/>
    <w:rsid w:val="00142C84"/>
    <w:rsid w:val="00191ED5"/>
    <w:rsid w:val="0019787A"/>
    <w:rsid w:val="001A3BC9"/>
    <w:rsid w:val="001C4887"/>
    <w:rsid w:val="001D2C01"/>
    <w:rsid w:val="00206587"/>
    <w:rsid w:val="00213C3C"/>
    <w:rsid w:val="00257761"/>
    <w:rsid w:val="00264D4E"/>
    <w:rsid w:val="00276522"/>
    <w:rsid w:val="00280A28"/>
    <w:rsid w:val="00294461"/>
    <w:rsid w:val="002A33D9"/>
    <w:rsid w:val="002A559B"/>
    <w:rsid w:val="002C78A3"/>
    <w:rsid w:val="002D55FD"/>
    <w:rsid w:val="00333289"/>
    <w:rsid w:val="00355FB1"/>
    <w:rsid w:val="00366F4D"/>
    <w:rsid w:val="003A3CBB"/>
    <w:rsid w:val="004034E9"/>
    <w:rsid w:val="00486E03"/>
    <w:rsid w:val="004A2CE5"/>
    <w:rsid w:val="004B1235"/>
    <w:rsid w:val="004D0A1B"/>
    <w:rsid w:val="004F1195"/>
    <w:rsid w:val="005116C0"/>
    <w:rsid w:val="00525D66"/>
    <w:rsid w:val="00546A68"/>
    <w:rsid w:val="00547BCB"/>
    <w:rsid w:val="00561634"/>
    <w:rsid w:val="005679BA"/>
    <w:rsid w:val="005A50CC"/>
    <w:rsid w:val="005A6787"/>
    <w:rsid w:val="00625A1B"/>
    <w:rsid w:val="00636AAA"/>
    <w:rsid w:val="006541CC"/>
    <w:rsid w:val="006753D3"/>
    <w:rsid w:val="006871B8"/>
    <w:rsid w:val="006A02E8"/>
    <w:rsid w:val="006B4800"/>
    <w:rsid w:val="006C2780"/>
    <w:rsid w:val="00731E4E"/>
    <w:rsid w:val="00753B87"/>
    <w:rsid w:val="007607BB"/>
    <w:rsid w:val="00781A32"/>
    <w:rsid w:val="00797593"/>
    <w:rsid w:val="007B2075"/>
    <w:rsid w:val="007C5A2C"/>
    <w:rsid w:val="00801670"/>
    <w:rsid w:val="00814528"/>
    <w:rsid w:val="00840161"/>
    <w:rsid w:val="00842B84"/>
    <w:rsid w:val="008518D4"/>
    <w:rsid w:val="00875255"/>
    <w:rsid w:val="00877FBC"/>
    <w:rsid w:val="008C10F4"/>
    <w:rsid w:val="008D43F6"/>
    <w:rsid w:val="008E337C"/>
    <w:rsid w:val="00947D8A"/>
    <w:rsid w:val="009F37C8"/>
    <w:rsid w:val="00A311C9"/>
    <w:rsid w:val="00A661C9"/>
    <w:rsid w:val="00AA1F34"/>
    <w:rsid w:val="00AB1E84"/>
    <w:rsid w:val="00AC3407"/>
    <w:rsid w:val="00AE30D1"/>
    <w:rsid w:val="00AF7150"/>
    <w:rsid w:val="00B14629"/>
    <w:rsid w:val="00B20D19"/>
    <w:rsid w:val="00B24D7E"/>
    <w:rsid w:val="00B32149"/>
    <w:rsid w:val="00B37D7D"/>
    <w:rsid w:val="00B62832"/>
    <w:rsid w:val="00B7632D"/>
    <w:rsid w:val="00BA0422"/>
    <w:rsid w:val="00BD5BC5"/>
    <w:rsid w:val="00BF43F5"/>
    <w:rsid w:val="00BF440A"/>
    <w:rsid w:val="00C14E59"/>
    <w:rsid w:val="00C70F5B"/>
    <w:rsid w:val="00CA38AD"/>
    <w:rsid w:val="00CC02E8"/>
    <w:rsid w:val="00CE0A3C"/>
    <w:rsid w:val="00D16871"/>
    <w:rsid w:val="00D320DD"/>
    <w:rsid w:val="00D43A1E"/>
    <w:rsid w:val="00D518BE"/>
    <w:rsid w:val="00D523B2"/>
    <w:rsid w:val="00D546AC"/>
    <w:rsid w:val="00DA3B83"/>
    <w:rsid w:val="00DB1D14"/>
    <w:rsid w:val="00E01984"/>
    <w:rsid w:val="00E138B9"/>
    <w:rsid w:val="00E13C15"/>
    <w:rsid w:val="00EA2B9C"/>
    <w:rsid w:val="00EC5830"/>
    <w:rsid w:val="00ED323F"/>
    <w:rsid w:val="00F04607"/>
    <w:rsid w:val="00F048F8"/>
    <w:rsid w:val="00F17321"/>
    <w:rsid w:val="00F451D8"/>
    <w:rsid w:val="00F45CCC"/>
    <w:rsid w:val="00F77851"/>
    <w:rsid w:val="00F815A9"/>
    <w:rsid w:val="03F564A3"/>
    <w:rsid w:val="07B705AA"/>
    <w:rsid w:val="09882D77"/>
    <w:rsid w:val="1AA974CA"/>
    <w:rsid w:val="1CC27702"/>
    <w:rsid w:val="1E042E9F"/>
    <w:rsid w:val="205A6326"/>
    <w:rsid w:val="208F3B24"/>
    <w:rsid w:val="237A45A6"/>
    <w:rsid w:val="29C63604"/>
    <w:rsid w:val="2ACC2FC4"/>
    <w:rsid w:val="366F6B1E"/>
    <w:rsid w:val="3D3B2891"/>
    <w:rsid w:val="41E30FA0"/>
    <w:rsid w:val="49213F1A"/>
    <w:rsid w:val="4CFD101A"/>
    <w:rsid w:val="4DCA34C9"/>
    <w:rsid w:val="4F8E725E"/>
    <w:rsid w:val="56D363A5"/>
    <w:rsid w:val="58F52A68"/>
    <w:rsid w:val="5A634CE6"/>
    <w:rsid w:val="5AB1372B"/>
    <w:rsid w:val="5C2815D8"/>
    <w:rsid w:val="670147F7"/>
    <w:rsid w:val="67D35922"/>
    <w:rsid w:val="687D51D1"/>
    <w:rsid w:val="690F6BB4"/>
    <w:rsid w:val="6A61040D"/>
    <w:rsid w:val="6CB930A1"/>
    <w:rsid w:val="6DC65D16"/>
    <w:rsid w:val="6DD04BF3"/>
    <w:rsid w:val="6F7F627C"/>
    <w:rsid w:val="6F8B148F"/>
    <w:rsid w:val="70601089"/>
    <w:rsid w:val="7C8101B3"/>
    <w:rsid w:val="7D0F03EC"/>
    <w:rsid w:val="7DFB791E"/>
    <w:rsid w:val="7EA86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character" w:styleId="7">
    <w:name w:val="Strong"/>
    <w:qFormat/>
    <w:uiPriority w:val="0"/>
    <w:rPr>
      <w:b/>
      <w:bCs/>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246</Words>
  <Characters>1408</Characters>
  <Lines>11</Lines>
  <Paragraphs>3</Paragraphs>
  <TotalTime>3</TotalTime>
  <ScaleCrop>false</ScaleCrop>
  <LinksUpToDate>false</LinksUpToDate>
  <CharactersWithSpaces>1651</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2018-09-07T14:12:00Z</dcterms:created>
  <dc:creator>Li Sr.</dc:creator>
  <cp:lastModifiedBy>啊呀</cp:lastModifiedBy>
  <dcterms:modified xsi:type="dcterms:W3CDTF">2022-03-04T05:56:12Z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