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eastAsia="方正小标宋简体"/>
          <w:color w:val="FF0000"/>
          <w:spacing w:val="-20"/>
          <w:sz w:val="72"/>
          <w:szCs w:val="72"/>
        </w:rPr>
      </w:pPr>
      <w:r>
        <w:rPr>
          <w:rFonts w:hint="eastAsia" w:ascii="方正小标宋简体" w:eastAsia="方正小标宋简体"/>
          <w:color w:val="FF0000"/>
          <w:spacing w:val="-20"/>
          <w:sz w:val="72"/>
          <w:szCs w:val="72"/>
        </w:rPr>
        <w:t>嘉兴大学</w:t>
      </w:r>
      <w:r>
        <w:rPr>
          <w:rFonts w:hint="eastAsia" w:ascii="方正小标宋简体" w:eastAsia="方正小标宋简体"/>
          <w:color w:val="FF0000"/>
          <w:spacing w:val="-20"/>
          <w:sz w:val="72"/>
          <w:szCs w:val="72"/>
          <w:lang w:val="en-US" w:eastAsia="zh-CN"/>
        </w:rPr>
        <w:t>教师发展中心</w:t>
      </w:r>
      <w:r>
        <w:rPr>
          <w:rFonts w:hint="eastAsia" w:ascii="方正小标宋简体" w:eastAsia="方正小标宋简体"/>
          <w:color w:val="FF0000"/>
          <w:spacing w:val="-20"/>
          <w:sz w:val="72"/>
          <w:szCs w:val="72"/>
        </w:rPr>
        <w:t>文件</w:t>
      </w:r>
    </w:p>
    <w:p>
      <w:pPr>
        <w:jc w:val="center"/>
        <w:rPr>
          <w:rFonts w:hint="eastAsia" w:ascii="方正小标宋简体" w:eastAsia="方正小标宋简体"/>
          <w:color w:val="FF0000"/>
          <w:spacing w:val="-20"/>
          <w:sz w:val="21"/>
          <w:szCs w:val="21"/>
        </w:rPr>
      </w:pPr>
    </w:p>
    <w:p>
      <w:pPr>
        <w:tabs>
          <w:tab w:val="left" w:pos="8610"/>
        </w:tabs>
        <w:jc w:val="center"/>
        <w:rPr>
          <w:rFonts w:eastAsia="仿宋_GB2312"/>
          <w:snapToGrid w:val="0"/>
          <w:kern w:val="0"/>
          <w:sz w:val="32"/>
          <w:szCs w:val="32"/>
        </w:rPr>
      </w:pPr>
      <w:r>
        <w:rPr>
          <w:rFonts w:hint="eastAsia" w:eastAsia="仿宋_GB2312"/>
          <w:snapToGrid w:val="0"/>
          <w:kern w:val="0"/>
          <w:sz w:val="32"/>
          <w:szCs w:val="32"/>
          <w:lang w:val="en-US" w:eastAsia="zh-CN"/>
        </w:rPr>
        <w:t>教发发</w:t>
      </w:r>
      <w:r>
        <w:rPr>
          <w:rFonts w:eastAsia="仿宋_GB2312"/>
          <w:snapToGrid w:val="0"/>
          <w:kern w:val="0"/>
          <w:sz w:val="32"/>
          <w:szCs w:val="32"/>
        </w:rPr>
        <w:t>〔</w:t>
      </w:r>
      <w:r>
        <w:rPr>
          <w:rFonts w:hint="eastAsia" w:eastAsia="仿宋_GB2312"/>
          <w:sz w:val="32"/>
          <w:szCs w:val="32"/>
          <w:lang w:eastAsia="zh-CN"/>
        </w:rPr>
        <w:t>2024</w:t>
      </w:r>
      <w:r>
        <w:rPr>
          <w:rFonts w:eastAsia="仿宋_GB2312"/>
          <w:snapToGrid w:val="0"/>
          <w:kern w:val="0"/>
          <w:sz w:val="32"/>
          <w:szCs w:val="32"/>
        </w:rPr>
        <w:t>〕</w:t>
      </w:r>
      <w:r>
        <w:rPr>
          <w:rFonts w:hint="eastAsia" w:eastAsia="仿宋_GB2312"/>
          <w:sz w:val="32"/>
          <w:szCs w:val="32"/>
          <w:lang w:eastAsia="zh-CN"/>
        </w:rPr>
        <w:t>1</w:t>
      </w:r>
      <w:r>
        <w:rPr>
          <w:rFonts w:eastAsia="仿宋_GB2312"/>
          <w:snapToGrid w:val="0"/>
          <w:kern w:val="0"/>
          <w:sz w:val="32"/>
          <w:szCs w:val="32"/>
        </w:rPr>
        <w:t>号</w:t>
      </w:r>
    </w:p>
    <w:p>
      <w:pPr>
        <w:spacing w:line="400" w:lineRule="exact"/>
        <w:jc w:val="center"/>
        <w:rPr>
          <w:spacing w:val="-16"/>
          <w:sz w:val="66"/>
        </w:rPr>
      </w:pPr>
      <w:r>
        <w:rPr>
          <w:rFonts w:hint="eastAsia" w:ascii="宋体"/>
          <w:color w:val="FF0000"/>
          <w:spacing w:val="-16"/>
          <w:sz w:val="66"/>
          <w:szCs w:val="72"/>
        </w:rPr>
        <w:t>─────────────</w:t>
      </w:r>
    </w:p>
    <w:p>
      <w:pPr>
        <w:jc w:val="center"/>
        <w:rPr>
          <w:rStyle w:val="9"/>
          <w:rFonts w:hint="default" w:ascii="Arial" w:hAnsi="Arial" w:cs="Arial"/>
          <w:b/>
          <w:bCs/>
          <w:color w:val="FF0000"/>
          <w:sz w:val="44"/>
          <w:szCs w:val="44"/>
          <w:shd w:val="clear" w:color="auto" w:fill="FFFFFF"/>
          <w:lang w:val="en-US" w:eastAsia="zh-CN"/>
        </w:rPr>
      </w:pP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Lines="0" w:line="580" w:lineRule="exact"/>
        <w:ind w:right="0" w:rightChars="0" w:firstLine="0" w:firstLineChars="0"/>
        <w:jc w:val="center"/>
        <w:textAlignment w:val="auto"/>
        <w:rPr>
          <w:rStyle w:val="8"/>
          <w:rFonts w:hint="eastAsia" w:ascii="Times New Roman" w:hAnsi="Times New Roman" w:eastAsia="方正小标宋简体" w:cs="方正小标宋简体"/>
          <w:b w:val="0"/>
          <w:bCs w:val="0"/>
          <w:color w:val="000000"/>
          <w:sz w:val="44"/>
          <w:szCs w:val="44"/>
        </w:rPr>
      </w:pPr>
      <w:r>
        <w:rPr>
          <w:rStyle w:val="8"/>
          <w:rFonts w:hint="eastAsia" w:ascii="Times New Roman" w:hAnsi="Times New Roman" w:eastAsia="方正小标宋简体" w:cs="方正小标宋简体"/>
          <w:b w:val="0"/>
          <w:bCs w:val="0"/>
          <w:color w:val="000000"/>
          <w:sz w:val="44"/>
          <w:szCs w:val="44"/>
        </w:rPr>
        <w:t>嘉兴</w:t>
      </w:r>
      <w:r>
        <w:rPr>
          <w:rStyle w:val="8"/>
          <w:rFonts w:hint="eastAsia" w:ascii="Times New Roman" w:hAnsi="Times New Roman" w:eastAsia="方正小标宋简体" w:cs="方正小标宋简体"/>
          <w:b w:val="0"/>
          <w:bCs w:val="0"/>
          <w:color w:val="000000"/>
          <w:sz w:val="44"/>
          <w:szCs w:val="44"/>
          <w:lang w:val="en-US" w:eastAsia="zh-CN"/>
        </w:rPr>
        <w:t>大学</w:t>
      </w:r>
      <w:r>
        <w:rPr>
          <w:rStyle w:val="8"/>
          <w:rFonts w:hint="eastAsia" w:ascii="Times New Roman" w:hAnsi="Times New Roman" w:eastAsia="方正小标宋简体" w:cs="方正小标宋简体"/>
          <w:b w:val="0"/>
          <w:bCs w:val="0"/>
          <w:color w:val="000000"/>
          <w:sz w:val="44"/>
          <w:szCs w:val="44"/>
        </w:rPr>
        <w:t>青年教师</w:t>
      </w:r>
      <w:r>
        <w:rPr>
          <w:rStyle w:val="8"/>
          <w:rFonts w:hint="eastAsia" w:ascii="Times New Roman" w:hAnsi="Times New Roman" w:eastAsia="方正小标宋简体" w:cs="方正小标宋简体"/>
          <w:b w:val="0"/>
          <w:bCs w:val="0"/>
          <w:color w:val="auto"/>
          <w:sz w:val="44"/>
          <w:szCs w:val="44"/>
        </w:rPr>
        <w:t>（辅导员）</w:t>
      </w:r>
      <w:r>
        <w:rPr>
          <w:rStyle w:val="8"/>
          <w:rFonts w:hint="eastAsia" w:ascii="Times New Roman" w:hAnsi="Times New Roman" w:eastAsia="方正小标宋简体" w:cs="方正小标宋简体"/>
          <w:b w:val="0"/>
          <w:bCs w:val="0"/>
          <w:color w:val="000000"/>
          <w:sz w:val="44"/>
          <w:szCs w:val="44"/>
        </w:rPr>
        <w:t>助讲培养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Lines="0" w:line="580" w:lineRule="exact"/>
        <w:ind w:right="0" w:rightChars="0" w:firstLine="0" w:firstLineChars="0"/>
        <w:jc w:val="center"/>
        <w:textAlignment w:val="auto"/>
        <w:rPr>
          <w:rStyle w:val="8"/>
          <w:rFonts w:hint="eastAsia" w:ascii="Times New Roman" w:hAnsi="Times New Roman" w:eastAsia="方正小标宋简体" w:cs="方正小标宋简体"/>
          <w:b w:val="0"/>
          <w:bCs w:val="0"/>
          <w:color w:val="000000"/>
          <w:sz w:val="44"/>
          <w:szCs w:val="44"/>
        </w:rPr>
      </w:pPr>
      <w:r>
        <w:rPr>
          <w:rStyle w:val="8"/>
          <w:rFonts w:hint="eastAsia" w:ascii="Times New Roman" w:hAnsi="Times New Roman" w:eastAsia="方正小标宋简体" w:cs="方正小标宋简体"/>
          <w:b w:val="0"/>
          <w:bCs w:val="0"/>
          <w:color w:val="000000"/>
          <w:sz w:val="44"/>
          <w:szCs w:val="44"/>
        </w:rPr>
        <w:t>优秀指导教师评选细则</w:t>
      </w:r>
    </w:p>
    <w:p>
      <w:pPr>
        <w:ind w:firstLine="640" w:firstLineChars="200"/>
        <w:rPr>
          <w:rFonts w:hint="eastAsia" w:ascii="仿宋_GB2312" w:eastAsia="仿宋_GB2312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</w:pPr>
    </w:p>
    <w:p>
      <w:pPr>
        <w:ind w:firstLine="640" w:firstLineChars="200"/>
        <w:jc w:val="both"/>
        <w:rPr>
          <w:rFonts w:hint="eastAsia" w:ascii="仿宋_GB2312" w:eastAsia="仿宋_GB2312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为进一步推动青年教师（辅导员）助讲培养工作走向深入、提升成效，同时鼓励指导教师更有效地开展青年教师指导工作，根据《嘉兴大学青年教师助讲培养实施办法》，特制定“嘉兴</w:t>
      </w:r>
      <w:r>
        <w:rPr>
          <w:rFonts w:hint="eastAsia" w:ascii="仿宋_GB2312" w:eastAsia="仿宋_GB2312"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大学</w:t>
      </w:r>
      <w:r>
        <w:rPr>
          <w:rFonts w:hint="eastAsia" w:ascii="仿宋_GB2312" w:eastAsia="仿宋_GB2312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青年教师（辅导员）助讲培养优秀指导教师”评选细则。</w:t>
      </w:r>
    </w:p>
    <w:p>
      <w:pPr>
        <w:numPr>
          <w:ilvl w:val="0"/>
          <w:numId w:val="1"/>
        </w:numPr>
        <w:ind w:firstLine="643" w:firstLineChars="200"/>
        <w:jc w:val="both"/>
        <w:rPr>
          <w:rFonts w:ascii="仿宋_GB2312" w:eastAsia="仿宋_GB2312"/>
          <w:b/>
          <w:bCs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b/>
          <w:bCs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评选对象</w:t>
      </w:r>
    </w:p>
    <w:p>
      <w:pPr>
        <w:ind w:firstLine="640" w:firstLineChars="200"/>
        <w:jc w:val="both"/>
        <w:rPr>
          <w:rFonts w:ascii="仿宋_GB2312" w:eastAsia="仿宋_GB2312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青年</w:t>
      </w:r>
      <w:r>
        <w:rPr>
          <w:rFonts w:ascii="仿宋_GB2312" w:eastAsia="仿宋_GB2312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教师（</w:t>
      </w:r>
      <w:r>
        <w:rPr>
          <w:rFonts w:hint="eastAsia" w:ascii="仿宋_GB2312" w:eastAsia="仿宋_GB2312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辅导员</w:t>
      </w:r>
      <w:r>
        <w:rPr>
          <w:rFonts w:ascii="仿宋_GB2312" w:eastAsia="仿宋_GB2312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仿宋_GB2312" w:eastAsia="仿宋_GB2312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优秀</w:t>
      </w:r>
      <w:r>
        <w:rPr>
          <w:rFonts w:ascii="仿宋_GB2312" w:eastAsia="仿宋_GB2312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指导教师</w:t>
      </w:r>
      <w:r>
        <w:rPr>
          <w:rFonts w:hint="eastAsia" w:ascii="仿宋_GB2312" w:eastAsia="仿宋_GB2312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评选</w:t>
      </w:r>
      <w:r>
        <w:rPr>
          <w:rFonts w:ascii="仿宋_GB2312" w:eastAsia="仿宋_GB2312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范围为</w:t>
      </w:r>
      <w:r>
        <w:rPr>
          <w:rFonts w:hint="eastAsia" w:ascii="仿宋_GB2312" w:eastAsia="仿宋_GB2312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受聘</w:t>
      </w:r>
      <w:r>
        <w:rPr>
          <w:rFonts w:ascii="仿宋_GB2312" w:eastAsia="仿宋_GB2312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当年青年教师（</w:t>
      </w:r>
      <w:r>
        <w:rPr>
          <w:rFonts w:hint="eastAsia" w:ascii="仿宋_GB2312" w:eastAsia="仿宋_GB2312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辅导员</w:t>
      </w:r>
      <w:r>
        <w:rPr>
          <w:rFonts w:ascii="仿宋_GB2312" w:eastAsia="仿宋_GB2312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仿宋_GB2312" w:eastAsia="仿宋_GB2312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助讲</w:t>
      </w:r>
      <w:r>
        <w:rPr>
          <w:rFonts w:ascii="仿宋_GB2312" w:eastAsia="仿宋_GB2312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培养</w:t>
      </w:r>
      <w:r>
        <w:rPr>
          <w:rFonts w:hint="eastAsia" w:ascii="仿宋_GB2312" w:eastAsia="仿宋_GB2312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的全体</w:t>
      </w:r>
      <w:r>
        <w:rPr>
          <w:rFonts w:ascii="仿宋_GB2312" w:eastAsia="仿宋_GB2312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指导教师</w:t>
      </w:r>
      <w:r>
        <w:rPr>
          <w:rFonts w:hint="eastAsia" w:ascii="仿宋_GB2312" w:eastAsia="仿宋_GB2312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。</w:t>
      </w:r>
    </w:p>
    <w:p>
      <w:pPr>
        <w:numPr>
          <w:ilvl w:val="0"/>
          <w:numId w:val="1"/>
        </w:numPr>
        <w:ind w:firstLine="643" w:firstLineChars="200"/>
        <w:jc w:val="both"/>
        <w:rPr>
          <w:rFonts w:ascii="仿宋_GB2312" w:eastAsia="仿宋_GB2312"/>
          <w:b/>
          <w:bCs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b/>
          <w:bCs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评选条件</w:t>
      </w:r>
    </w:p>
    <w:p>
      <w:pPr>
        <w:ind w:firstLine="640" w:firstLineChars="200"/>
        <w:jc w:val="both"/>
        <w:rPr>
          <w:rFonts w:ascii="仿宋_GB2312" w:eastAsia="仿宋_GB2312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推选优秀指导教师评选应该具备以下条件：</w:t>
      </w:r>
    </w:p>
    <w:p>
      <w:pPr>
        <w:ind w:firstLine="640" w:firstLineChars="200"/>
        <w:jc w:val="both"/>
        <w:rPr>
          <w:rFonts w:ascii="仿宋_GB2312" w:eastAsia="仿宋_GB2312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（1）对被</w:t>
      </w:r>
      <w:r>
        <w:rPr>
          <w:rFonts w:ascii="仿宋_GB2312" w:eastAsia="仿宋_GB2312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指导青年教师要求严格</w:t>
      </w:r>
      <w:r>
        <w:rPr>
          <w:rFonts w:hint="eastAsia" w:ascii="仿宋_GB2312" w:eastAsia="仿宋_GB2312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。对</w:t>
      </w:r>
      <w:r>
        <w:rPr>
          <w:rFonts w:ascii="仿宋_GB2312" w:eastAsia="仿宋_GB2312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培养</w:t>
      </w:r>
      <w:r>
        <w:rPr>
          <w:rFonts w:hint="eastAsia" w:ascii="仿宋_GB2312" w:eastAsia="仿宋_GB2312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过程</w:t>
      </w:r>
      <w:r>
        <w:rPr>
          <w:rFonts w:ascii="仿宋_GB2312" w:eastAsia="仿宋_GB2312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的每个环节和</w:t>
      </w:r>
      <w:r>
        <w:rPr>
          <w:rFonts w:hint="eastAsia" w:ascii="仿宋_GB2312" w:eastAsia="仿宋_GB2312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指导内容都有</w:t>
      </w:r>
      <w:r>
        <w:rPr>
          <w:rFonts w:ascii="仿宋_GB2312" w:eastAsia="仿宋_GB2312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明确的目标，且</w:t>
      </w:r>
      <w:r>
        <w:rPr>
          <w:rFonts w:hint="eastAsia" w:ascii="仿宋_GB2312" w:eastAsia="仿宋_GB2312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督促</w:t>
      </w:r>
      <w:r>
        <w:rPr>
          <w:rFonts w:ascii="仿宋_GB2312" w:eastAsia="仿宋_GB2312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青年教师严格执行。</w:t>
      </w:r>
    </w:p>
    <w:p>
      <w:pPr>
        <w:ind w:firstLine="640" w:firstLineChars="200"/>
        <w:jc w:val="both"/>
        <w:rPr>
          <w:rFonts w:ascii="仿宋_GB2312" w:eastAsia="仿宋_GB2312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（2</w:t>
      </w:r>
      <w:r>
        <w:rPr>
          <w:rFonts w:ascii="仿宋_GB2312" w:eastAsia="仿宋_GB2312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）指导内容全面</w:t>
      </w:r>
      <w:r>
        <w:rPr>
          <w:rFonts w:hint="eastAsia" w:ascii="仿宋_GB2312" w:eastAsia="仿宋_GB2312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。全面</w:t>
      </w:r>
      <w:r>
        <w:rPr>
          <w:rFonts w:ascii="仿宋_GB2312" w:eastAsia="仿宋_GB2312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开展</w:t>
      </w:r>
      <w:r>
        <w:rPr>
          <w:rFonts w:hint="eastAsia" w:ascii="仿宋_GB2312" w:eastAsia="仿宋_GB2312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《嘉兴大学青年教师助讲培养实施办法》制度中涉及</w:t>
      </w:r>
      <w:r>
        <w:rPr>
          <w:rFonts w:ascii="仿宋_GB2312" w:eastAsia="仿宋_GB2312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到</w:t>
      </w:r>
      <w:r>
        <w:rPr>
          <w:rFonts w:hint="eastAsia" w:ascii="仿宋_GB2312" w:eastAsia="仿宋_GB2312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的各项</w:t>
      </w:r>
      <w:r>
        <w:rPr>
          <w:rFonts w:ascii="仿宋_GB2312" w:eastAsia="仿宋_GB2312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内容</w:t>
      </w:r>
      <w:r>
        <w:rPr>
          <w:rFonts w:hint="eastAsia" w:ascii="仿宋_GB2312" w:eastAsia="仿宋_GB2312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，特别</w:t>
      </w:r>
      <w:r>
        <w:rPr>
          <w:rFonts w:ascii="仿宋_GB2312" w:eastAsia="仿宋_GB2312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是重视</w:t>
      </w:r>
      <w:r>
        <w:rPr>
          <w:rFonts w:hint="eastAsia" w:ascii="仿宋_GB2312" w:eastAsia="仿宋_GB2312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教学</w:t>
      </w:r>
      <w:r>
        <w:rPr>
          <w:rFonts w:ascii="仿宋_GB2312" w:eastAsia="仿宋_GB2312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技能</w:t>
      </w:r>
      <w:r>
        <w:rPr>
          <w:rFonts w:hint="eastAsia" w:ascii="仿宋_GB2312" w:eastAsia="仿宋_GB2312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和</w:t>
      </w:r>
      <w:r>
        <w:rPr>
          <w:rFonts w:ascii="仿宋_GB2312" w:eastAsia="仿宋_GB2312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教学规范的</w:t>
      </w:r>
      <w:r>
        <w:rPr>
          <w:rFonts w:hint="eastAsia" w:ascii="仿宋_GB2312" w:eastAsia="仿宋_GB2312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指导。</w:t>
      </w:r>
    </w:p>
    <w:p>
      <w:pPr>
        <w:ind w:firstLine="640" w:firstLineChars="200"/>
        <w:jc w:val="both"/>
        <w:rPr>
          <w:rFonts w:ascii="仿宋_GB2312" w:eastAsia="仿宋_GB2312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（3</w:t>
      </w:r>
      <w:r>
        <w:rPr>
          <w:rFonts w:ascii="仿宋_GB2312" w:eastAsia="仿宋_GB2312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仿宋_GB2312" w:eastAsia="仿宋_GB2312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指导效果</w:t>
      </w:r>
      <w:r>
        <w:rPr>
          <w:rFonts w:ascii="仿宋_GB2312" w:eastAsia="仿宋_GB2312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明显</w:t>
      </w:r>
      <w:r>
        <w:rPr>
          <w:rFonts w:hint="eastAsia" w:ascii="仿宋_GB2312" w:eastAsia="仿宋_GB2312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。通过</w:t>
      </w:r>
      <w:r>
        <w:rPr>
          <w:rFonts w:ascii="仿宋_GB2312" w:eastAsia="仿宋_GB2312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指导教师的</w:t>
      </w:r>
      <w:r>
        <w:rPr>
          <w:rFonts w:hint="eastAsia" w:ascii="仿宋_GB2312" w:eastAsia="仿宋_GB2312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指</w:t>
      </w:r>
      <w:r>
        <w:rPr>
          <w:rFonts w:ascii="仿宋_GB2312" w:eastAsia="仿宋_GB2312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导，</w:t>
      </w:r>
      <w:r>
        <w:rPr>
          <w:rFonts w:hint="eastAsia" w:ascii="仿宋_GB2312" w:eastAsia="仿宋_GB2312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青年</w:t>
      </w:r>
      <w:r>
        <w:rPr>
          <w:rFonts w:ascii="仿宋_GB2312" w:eastAsia="仿宋_GB2312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教师</w:t>
      </w:r>
      <w:r>
        <w:rPr>
          <w:rFonts w:hint="eastAsia" w:ascii="仿宋_GB2312" w:eastAsia="仿宋_GB2312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的</w:t>
      </w:r>
      <w:r>
        <w:rPr>
          <w:rFonts w:ascii="仿宋_GB2312" w:eastAsia="仿宋_GB2312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各方面能力</w:t>
      </w:r>
      <w:r>
        <w:rPr>
          <w:rFonts w:hint="eastAsia" w:ascii="仿宋_GB2312" w:eastAsia="仿宋_GB2312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得到</w:t>
      </w:r>
      <w:r>
        <w:rPr>
          <w:rFonts w:ascii="仿宋_GB2312" w:eastAsia="仿宋_GB2312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全面提升</w:t>
      </w:r>
      <w:r>
        <w:rPr>
          <w:rFonts w:hint="eastAsia" w:ascii="仿宋_GB2312" w:eastAsia="仿宋_GB2312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、所授</w:t>
      </w:r>
      <w:r>
        <w:rPr>
          <w:rFonts w:ascii="仿宋_GB2312" w:eastAsia="仿宋_GB2312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课程</w:t>
      </w:r>
      <w:r>
        <w:rPr>
          <w:rFonts w:hint="eastAsia" w:ascii="仿宋_GB2312" w:eastAsia="仿宋_GB2312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得到同行及</w:t>
      </w:r>
      <w:r>
        <w:rPr>
          <w:rFonts w:ascii="仿宋_GB2312" w:eastAsia="仿宋_GB2312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学生的</w:t>
      </w:r>
      <w:r>
        <w:rPr>
          <w:rFonts w:hint="eastAsia" w:ascii="仿宋_GB2312" w:eastAsia="仿宋_GB2312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高度认可。</w:t>
      </w:r>
    </w:p>
    <w:p>
      <w:pPr>
        <w:numPr>
          <w:ilvl w:val="0"/>
          <w:numId w:val="1"/>
        </w:numPr>
        <w:ind w:firstLine="643" w:firstLineChars="200"/>
        <w:jc w:val="both"/>
        <w:rPr>
          <w:rFonts w:ascii="仿宋_GB2312" w:eastAsia="仿宋_GB2312"/>
          <w:b/>
          <w:bCs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b/>
          <w:bCs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评选</w:t>
      </w:r>
      <w:r>
        <w:rPr>
          <w:rFonts w:ascii="仿宋_GB2312" w:eastAsia="仿宋_GB2312"/>
          <w:b/>
          <w:bCs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程序</w:t>
      </w:r>
    </w:p>
    <w:p>
      <w:pPr>
        <w:ind w:firstLine="640" w:firstLineChars="200"/>
        <w:jc w:val="both"/>
        <w:rPr>
          <w:rFonts w:ascii="仿宋_GB2312" w:eastAsia="仿宋_GB2312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评选按照</w:t>
      </w:r>
      <w:r>
        <w:rPr>
          <w:rFonts w:ascii="仿宋_GB2312" w:eastAsia="仿宋_GB2312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指导教师</w:t>
      </w:r>
      <w:r>
        <w:rPr>
          <w:rFonts w:hint="eastAsia" w:ascii="仿宋_GB2312" w:eastAsia="仿宋_GB2312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自主申报，学院推荐，学校评审的</w:t>
      </w:r>
      <w:r>
        <w:rPr>
          <w:rFonts w:ascii="仿宋_GB2312" w:eastAsia="仿宋_GB2312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程序进行</w:t>
      </w:r>
      <w:r>
        <w:rPr>
          <w:rFonts w:hint="eastAsia" w:ascii="仿宋_GB2312" w:eastAsia="仿宋_GB2312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。</w:t>
      </w:r>
    </w:p>
    <w:p>
      <w:pPr>
        <w:ind w:firstLine="640" w:firstLineChars="200"/>
        <w:jc w:val="both"/>
        <w:rPr>
          <w:rFonts w:ascii="仿宋_GB2312" w:eastAsia="仿宋_GB2312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</w:pPr>
      <w:bookmarkStart w:id="1" w:name="_GoBack"/>
      <w:r>
        <w:rPr>
          <w:rFonts w:hint="eastAsia" w:ascii="仿宋_GB2312" w:eastAsia="仿宋_GB2312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（1</w:t>
      </w:r>
      <w:r>
        <w:rPr>
          <w:rFonts w:ascii="仿宋_GB2312" w:eastAsia="仿宋_GB2312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仿宋_GB2312" w:eastAsia="仿宋_GB2312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自主申报。申报人</w:t>
      </w:r>
      <w:r>
        <w:rPr>
          <w:rFonts w:hint="eastAsia" w:ascii="仿宋_GB2312" w:eastAsia="仿宋_GB2312"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填写</w:t>
      </w:r>
      <w:r>
        <w:rPr>
          <w:rFonts w:hint="eastAsia" w:ascii="仿宋_GB2312" w:eastAsia="仿宋_GB2312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《</w:t>
      </w:r>
      <w:r>
        <w:rPr>
          <w:rFonts w:hint="eastAsia" w:ascii="仿宋_GB2312" w:eastAsia="仿宋_GB2312"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嘉兴大学</w:t>
      </w:r>
      <w:r>
        <w:rPr>
          <w:rFonts w:hint="eastAsia" w:ascii="仿宋_GB2312" w:eastAsia="仿宋_GB2312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青年教师</w:t>
      </w:r>
      <w:r>
        <w:rPr>
          <w:rFonts w:hint="eastAsia" w:ascii="仿宋_GB2312" w:eastAsia="仿宋_GB2312"/>
          <w:color w:val="000000" w:themeColor="text1"/>
          <w:sz w:val="32"/>
          <w:szCs w:val="32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仿宋_GB2312" w:eastAsia="仿宋_GB2312"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辅导员</w:t>
      </w:r>
      <w:r>
        <w:rPr>
          <w:rFonts w:hint="eastAsia" w:ascii="仿宋_GB2312" w:eastAsia="仿宋_GB2312"/>
          <w:color w:val="000000" w:themeColor="text1"/>
          <w:sz w:val="32"/>
          <w:szCs w:val="32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仿宋_GB2312" w:eastAsia="仿宋_GB2312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助讲培养工作优秀指导教师推荐表》报所在学院</w:t>
      </w:r>
      <w:r>
        <w:rPr>
          <w:rFonts w:hint="eastAsia" w:ascii="仿宋_GB2312" w:eastAsia="仿宋_GB2312"/>
          <w:color w:val="000000" w:themeColor="text1"/>
          <w:sz w:val="32"/>
          <w:szCs w:val="32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仿宋_GB2312" w:eastAsia="仿宋_GB2312"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部门</w:t>
      </w:r>
      <w:r>
        <w:rPr>
          <w:rFonts w:hint="eastAsia" w:ascii="仿宋_GB2312" w:eastAsia="仿宋_GB2312"/>
          <w:color w:val="000000" w:themeColor="text1"/>
          <w:sz w:val="32"/>
          <w:szCs w:val="32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仿宋_GB2312" w:eastAsia="仿宋_GB2312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。</w:t>
      </w:r>
    </w:p>
    <w:bookmarkEnd w:id="1"/>
    <w:p>
      <w:pPr>
        <w:ind w:firstLine="640" w:firstLineChars="200"/>
        <w:jc w:val="both"/>
        <w:rPr>
          <w:rFonts w:ascii="仿宋_GB2312" w:eastAsia="仿宋_GB2312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（2）学院</w:t>
      </w:r>
      <w:r>
        <w:rPr>
          <w:rFonts w:hint="eastAsia" w:ascii="仿宋_GB2312" w:eastAsia="仿宋_GB2312"/>
          <w:color w:val="000000" w:themeColor="text1"/>
          <w:sz w:val="32"/>
          <w:szCs w:val="32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仿宋_GB2312" w:eastAsia="仿宋_GB2312"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部门</w:t>
      </w:r>
      <w:r>
        <w:rPr>
          <w:rFonts w:hint="eastAsia" w:ascii="仿宋_GB2312" w:eastAsia="仿宋_GB2312"/>
          <w:color w:val="000000" w:themeColor="text1"/>
          <w:sz w:val="32"/>
          <w:szCs w:val="32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仿宋_GB2312" w:eastAsia="仿宋_GB2312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推荐。学院</w:t>
      </w:r>
      <w:r>
        <w:rPr>
          <w:rFonts w:hint="eastAsia" w:ascii="仿宋_GB2312" w:eastAsia="仿宋_GB2312"/>
          <w:color w:val="000000" w:themeColor="text1"/>
          <w:sz w:val="32"/>
          <w:szCs w:val="32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仿宋_GB2312" w:eastAsia="仿宋_GB2312"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部门</w:t>
      </w:r>
      <w:r>
        <w:rPr>
          <w:rFonts w:hint="eastAsia" w:ascii="仿宋_GB2312" w:eastAsia="仿宋_GB2312"/>
          <w:color w:val="000000" w:themeColor="text1"/>
          <w:sz w:val="32"/>
          <w:szCs w:val="32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仿宋_GB2312" w:eastAsia="仿宋_GB2312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根据《</w:t>
      </w:r>
      <w:r>
        <w:rPr>
          <w:rFonts w:hint="eastAsia" w:ascii="仿宋_GB2312" w:eastAsia="仿宋_GB2312"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嘉兴大学</w:t>
      </w:r>
      <w:r>
        <w:rPr>
          <w:rFonts w:hint="eastAsia" w:ascii="仿宋_GB2312" w:eastAsia="仿宋_GB2312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青年教师</w:t>
      </w:r>
      <w:r>
        <w:rPr>
          <w:rFonts w:hint="eastAsia" w:ascii="仿宋_GB2312" w:eastAsia="仿宋_GB2312"/>
          <w:color w:val="000000" w:themeColor="text1"/>
          <w:sz w:val="32"/>
          <w:szCs w:val="32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仿宋_GB2312" w:eastAsia="仿宋_GB2312"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辅导员</w:t>
      </w:r>
      <w:r>
        <w:rPr>
          <w:rFonts w:hint="eastAsia" w:ascii="仿宋_GB2312" w:eastAsia="仿宋_GB2312"/>
          <w:color w:val="000000" w:themeColor="text1"/>
          <w:sz w:val="32"/>
          <w:szCs w:val="32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仿宋_GB2312" w:eastAsia="仿宋_GB2312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助讲培养工作优秀指导教师推荐表》以及</w:t>
      </w:r>
      <w:r>
        <w:rPr>
          <w:rFonts w:ascii="仿宋_GB2312" w:eastAsia="仿宋_GB2312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指导情况</w:t>
      </w:r>
      <w:r>
        <w:rPr>
          <w:rFonts w:hint="eastAsia" w:ascii="仿宋_GB2312" w:eastAsia="仿宋_GB2312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,对照</w:t>
      </w:r>
      <w:r>
        <w:rPr>
          <w:rFonts w:ascii="仿宋_GB2312" w:eastAsia="仿宋_GB2312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上述</w:t>
      </w:r>
      <w:r>
        <w:rPr>
          <w:rFonts w:hint="eastAsia" w:ascii="仿宋_GB2312" w:eastAsia="仿宋_GB2312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评选条件进行初评推荐，</w:t>
      </w:r>
      <w:r>
        <w:rPr>
          <w:rFonts w:ascii="仿宋_GB2312" w:eastAsia="仿宋_GB2312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并将结果</w:t>
      </w:r>
      <w:r>
        <w:rPr>
          <w:rFonts w:hint="eastAsia" w:ascii="仿宋_GB2312" w:eastAsia="仿宋_GB2312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报送教师</w:t>
      </w:r>
      <w:r>
        <w:rPr>
          <w:rFonts w:ascii="仿宋_GB2312" w:eastAsia="仿宋_GB2312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发展中心</w:t>
      </w:r>
      <w:r>
        <w:rPr>
          <w:rFonts w:hint="eastAsia" w:ascii="仿宋_GB2312" w:eastAsia="仿宋_GB2312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。</w:t>
      </w:r>
    </w:p>
    <w:p>
      <w:pPr>
        <w:ind w:firstLine="640" w:firstLineChars="200"/>
        <w:jc w:val="both"/>
        <w:rPr>
          <w:rFonts w:ascii="仿宋_GB2312" w:eastAsia="仿宋_GB2312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（3）学校评审。经教师</w:t>
      </w:r>
      <w:r>
        <w:rPr>
          <w:rFonts w:ascii="仿宋_GB2312" w:eastAsia="仿宋_GB2312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发展中心组织评审，形成评审结果</w:t>
      </w:r>
      <w:r>
        <w:rPr>
          <w:rFonts w:hint="eastAsia" w:ascii="仿宋_GB2312" w:eastAsia="仿宋_GB2312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，评审优秀指导教师的</w:t>
      </w:r>
      <w:r>
        <w:rPr>
          <w:rFonts w:ascii="仿宋_GB2312" w:eastAsia="仿宋_GB2312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比例</w:t>
      </w:r>
      <w:r>
        <w:rPr>
          <w:rFonts w:hint="eastAsia" w:ascii="仿宋_GB2312" w:eastAsia="仿宋_GB2312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一般不超过当年总数的20%，</w:t>
      </w:r>
      <w:r>
        <w:rPr>
          <w:rFonts w:ascii="仿宋_GB2312" w:eastAsia="仿宋_GB2312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评审结果以发文的形式公布</w:t>
      </w:r>
      <w:r>
        <w:rPr>
          <w:rFonts w:hint="eastAsia" w:ascii="仿宋_GB2312" w:eastAsia="仿宋_GB2312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。</w:t>
      </w:r>
    </w:p>
    <w:p>
      <w:pPr>
        <w:numPr>
          <w:ilvl w:val="0"/>
          <w:numId w:val="1"/>
        </w:numPr>
        <w:ind w:firstLine="643" w:firstLineChars="200"/>
        <w:jc w:val="both"/>
        <w:rPr>
          <w:rFonts w:ascii="仿宋_GB2312" w:eastAsia="仿宋_GB2312"/>
          <w:b/>
          <w:bCs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b/>
          <w:bCs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表彰及</w:t>
      </w:r>
      <w:r>
        <w:rPr>
          <w:rFonts w:ascii="仿宋_GB2312" w:eastAsia="仿宋_GB2312"/>
          <w:b/>
          <w:bCs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推广</w:t>
      </w:r>
    </w:p>
    <w:p>
      <w:pPr>
        <w:ind w:firstLine="640" w:firstLineChars="200"/>
        <w:jc w:val="both"/>
        <w:rPr>
          <w:rFonts w:ascii="仿宋_GB2312" w:eastAsia="仿宋_GB2312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（1</w:t>
      </w:r>
      <w:r>
        <w:rPr>
          <w:rFonts w:ascii="仿宋_GB2312" w:eastAsia="仿宋_GB2312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仿宋_GB2312" w:eastAsia="仿宋_GB2312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学校为获得优秀</w:t>
      </w:r>
      <w:r>
        <w:rPr>
          <w:rFonts w:ascii="仿宋_GB2312" w:eastAsia="仿宋_GB2312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指导教师</w:t>
      </w:r>
      <w:r>
        <w:rPr>
          <w:rFonts w:hint="eastAsia" w:ascii="仿宋_GB2312" w:eastAsia="仿宋_GB2312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颁发荣誉证书。</w:t>
      </w:r>
    </w:p>
    <w:p>
      <w:pPr>
        <w:ind w:firstLine="640" w:firstLineChars="200"/>
        <w:jc w:val="both"/>
        <w:rPr>
          <w:rFonts w:ascii="仿宋_GB2312" w:eastAsia="仿宋_GB2312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（2</w:t>
      </w:r>
      <w:r>
        <w:rPr>
          <w:rFonts w:ascii="仿宋_GB2312" w:eastAsia="仿宋_GB2312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仿宋_GB2312" w:eastAsia="仿宋_GB2312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学校通过</w:t>
      </w:r>
      <w:r>
        <w:rPr>
          <w:rFonts w:ascii="仿宋_GB2312" w:eastAsia="仿宋_GB2312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网络平台和</w:t>
      </w:r>
      <w:r>
        <w:rPr>
          <w:rFonts w:hint="eastAsia" w:ascii="仿宋_GB2312" w:eastAsia="仿宋_GB2312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经验</w:t>
      </w:r>
      <w:r>
        <w:rPr>
          <w:rFonts w:ascii="仿宋_GB2312" w:eastAsia="仿宋_GB2312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交流会等方式，对优秀指导教师</w:t>
      </w:r>
      <w:r>
        <w:rPr>
          <w:rFonts w:hint="eastAsia" w:ascii="仿宋_GB2312" w:eastAsia="仿宋_GB2312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的指导</w:t>
      </w:r>
      <w:r>
        <w:rPr>
          <w:rFonts w:ascii="仿宋_GB2312" w:eastAsia="仿宋_GB2312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经验进行宣传或推广。</w:t>
      </w:r>
    </w:p>
    <w:tbl>
      <w:tblPr>
        <w:tblStyle w:val="6"/>
        <w:tblpPr w:leftFromText="181" w:rightFromText="181" w:tblpYSpec="bottom"/>
        <w:tblOverlap w:val="never"/>
        <w:tblW w:w="8844" w:type="dxa"/>
        <w:tblInd w:w="0" w:type="dxa"/>
        <w:tblBorders>
          <w:top w:val="single" w:color="auto" w:sz="8" w:space="0"/>
          <w:left w:val="none" w:color="auto" w:sz="0" w:space="0"/>
          <w:bottom w:val="single" w:color="auto" w:sz="8" w:space="0"/>
          <w:right w:val="none" w:color="auto" w:sz="0" w:space="0"/>
          <w:insideH w:val="single" w:color="auto" w:sz="4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422"/>
        <w:gridCol w:w="4422"/>
      </w:tblGrid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</w:tblPrEx>
        <w:trPr>
          <w:cantSplit/>
          <w:trHeight w:val="567" w:hRule="exact"/>
        </w:trPr>
        <w:tc>
          <w:tcPr>
            <w:tcW w:w="4422" w:type="dxa"/>
            <w:noWrap w:val="0"/>
            <w:vAlign w:val="center"/>
          </w:tcPr>
          <w:p>
            <w:pPr>
              <w:adjustRightInd w:val="0"/>
              <w:snapToGrid w:val="0"/>
              <w:ind w:left="210" w:leftChars="100"/>
              <w:rPr>
                <w:rFonts w:hint="default" w:eastAsia="仿宋_GB2312"/>
                <w:sz w:val="28"/>
                <w:szCs w:val="30"/>
                <w:lang w:val="en-US" w:eastAsia="zh-CN"/>
              </w:rPr>
            </w:pPr>
            <w:r>
              <w:rPr>
                <w:rFonts w:eastAsia="仿宋_GB2312"/>
                <w:sz w:val="28"/>
                <w:szCs w:val="30"/>
              </w:rPr>
              <w:t>嘉兴</w:t>
            </w:r>
            <w:r>
              <w:rPr>
                <w:rFonts w:hint="eastAsia" w:eastAsia="仿宋_GB2312"/>
                <w:sz w:val="28"/>
                <w:szCs w:val="30"/>
              </w:rPr>
              <w:t>大学教</w:t>
            </w:r>
            <w:r>
              <w:rPr>
                <w:rFonts w:hint="eastAsia" w:eastAsia="仿宋_GB2312"/>
                <w:sz w:val="28"/>
                <w:szCs w:val="30"/>
                <w:lang w:val="en-US" w:eastAsia="zh-CN"/>
              </w:rPr>
              <w:t>师发展中心</w:t>
            </w:r>
          </w:p>
        </w:tc>
        <w:tc>
          <w:tcPr>
            <w:tcW w:w="4422" w:type="dxa"/>
            <w:noWrap w:val="0"/>
            <w:vAlign w:val="center"/>
          </w:tcPr>
          <w:p>
            <w:pPr>
              <w:wordWrap w:val="0"/>
              <w:ind w:right="210" w:rightChars="100"/>
              <w:jc w:val="right"/>
              <w:rPr>
                <w:rFonts w:eastAsia="仿宋_GB2312"/>
                <w:sz w:val="28"/>
                <w:szCs w:val="30"/>
              </w:rPr>
            </w:pPr>
            <w:bookmarkStart w:id="0" w:name="印发日期"/>
            <w:r>
              <w:rPr>
                <w:rFonts w:hint="eastAsia" w:eastAsia="仿宋_GB2312"/>
                <w:color w:val="000000"/>
                <w:sz w:val="28"/>
                <w:szCs w:val="28"/>
                <w:lang w:eastAsia="zh-CN"/>
              </w:rPr>
              <w:t>2024年</w:t>
            </w:r>
            <w:r>
              <w:rPr>
                <w:rFonts w:hint="eastAsia" w:eastAsia="仿宋_GB2312"/>
                <w:color w:val="000000"/>
                <w:sz w:val="28"/>
                <w:szCs w:val="28"/>
                <w:lang w:val="en-US" w:eastAsia="zh-CN"/>
              </w:rPr>
              <w:t>9</w:t>
            </w:r>
            <w:r>
              <w:rPr>
                <w:rFonts w:hint="eastAsia" w:eastAsia="仿宋_GB2312"/>
                <w:color w:val="000000"/>
                <w:sz w:val="28"/>
                <w:szCs w:val="28"/>
                <w:lang w:eastAsia="zh-CN"/>
              </w:rPr>
              <w:t>月</w:t>
            </w:r>
            <w:r>
              <w:rPr>
                <w:rFonts w:hint="eastAsia" w:eastAsia="仿宋_GB2312"/>
                <w:color w:val="000000"/>
                <w:sz w:val="28"/>
                <w:szCs w:val="28"/>
                <w:lang w:val="en-US" w:eastAsia="zh-CN"/>
              </w:rPr>
              <w:t>8</w:t>
            </w:r>
            <w:r>
              <w:rPr>
                <w:rFonts w:hint="eastAsia" w:eastAsia="仿宋_GB2312"/>
                <w:color w:val="000000"/>
                <w:sz w:val="28"/>
                <w:szCs w:val="28"/>
                <w:lang w:eastAsia="zh-CN"/>
              </w:rPr>
              <w:t>日</w:t>
            </w:r>
            <w:bookmarkEnd w:id="0"/>
            <w:r>
              <w:rPr>
                <w:rFonts w:eastAsia="仿宋_GB2312"/>
                <w:sz w:val="28"/>
                <w:szCs w:val="28"/>
              </w:rPr>
              <w:t>印发</w:t>
            </w:r>
          </w:p>
        </w:tc>
      </w:tr>
    </w:tbl>
    <w:p>
      <w:pPr>
        <w:ind w:firstLine="640" w:firstLineChars="200"/>
        <w:jc w:val="both"/>
        <w:rPr>
          <w:rFonts w:ascii="仿宋_GB2312" w:eastAsia="仿宋_GB2312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94BE5A8"/>
    <w:multiLevelType w:val="singleLevel"/>
    <w:tmpl w:val="B94BE5A8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7B3E"/>
    <w:rsid w:val="00001249"/>
    <w:rsid w:val="0000702E"/>
    <w:rsid w:val="00010732"/>
    <w:rsid w:val="000135CB"/>
    <w:rsid w:val="00036A1B"/>
    <w:rsid w:val="00043257"/>
    <w:rsid w:val="00044031"/>
    <w:rsid w:val="00081928"/>
    <w:rsid w:val="000939ED"/>
    <w:rsid w:val="00094283"/>
    <w:rsid w:val="00095682"/>
    <w:rsid w:val="000B5BB4"/>
    <w:rsid w:val="000C1F5D"/>
    <w:rsid w:val="000E095E"/>
    <w:rsid w:val="000E3771"/>
    <w:rsid w:val="000E4E24"/>
    <w:rsid w:val="000E54F1"/>
    <w:rsid w:val="001163C2"/>
    <w:rsid w:val="00116B22"/>
    <w:rsid w:val="001213FE"/>
    <w:rsid w:val="00150AF4"/>
    <w:rsid w:val="00180F79"/>
    <w:rsid w:val="00191F0F"/>
    <w:rsid w:val="001A659D"/>
    <w:rsid w:val="001C6EE1"/>
    <w:rsid w:val="001D3F73"/>
    <w:rsid w:val="002076AA"/>
    <w:rsid w:val="00215540"/>
    <w:rsid w:val="002234F5"/>
    <w:rsid w:val="00232E3E"/>
    <w:rsid w:val="00234C44"/>
    <w:rsid w:val="00250BCD"/>
    <w:rsid w:val="00252DD1"/>
    <w:rsid w:val="00267853"/>
    <w:rsid w:val="002D494D"/>
    <w:rsid w:val="002F44E3"/>
    <w:rsid w:val="00301D80"/>
    <w:rsid w:val="00303A9C"/>
    <w:rsid w:val="00312E20"/>
    <w:rsid w:val="0032709D"/>
    <w:rsid w:val="00333EB1"/>
    <w:rsid w:val="00366EC9"/>
    <w:rsid w:val="00382F15"/>
    <w:rsid w:val="003E5062"/>
    <w:rsid w:val="00441A2A"/>
    <w:rsid w:val="004552EE"/>
    <w:rsid w:val="00486B54"/>
    <w:rsid w:val="00494F1E"/>
    <w:rsid w:val="00497E40"/>
    <w:rsid w:val="004F5489"/>
    <w:rsid w:val="005029EF"/>
    <w:rsid w:val="005030FC"/>
    <w:rsid w:val="005044B0"/>
    <w:rsid w:val="00552046"/>
    <w:rsid w:val="00553FAC"/>
    <w:rsid w:val="0058085C"/>
    <w:rsid w:val="005844B2"/>
    <w:rsid w:val="005A1A09"/>
    <w:rsid w:val="005D18E6"/>
    <w:rsid w:val="005E6BC3"/>
    <w:rsid w:val="00600B2D"/>
    <w:rsid w:val="00603758"/>
    <w:rsid w:val="0060739B"/>
    <w:rsid w:val="0062652E"/>
    <w:rsid w:val="00632D16"/>
    <w:rsid w:val="00675AFC"/>
    <w:rsid w:val="0069034A"/>
    <w:rsid w:val="00693184"/>
    <w:rsid w:val="006A2107"/>
    <w:rsid w:val="006B0202"/>
    <w:rsid w:val="006C060D"/>
    <w:rsid w:val="006D26F0"/>
    <w:rsid w:val="006F51A1"/>
    <w:rsid w:val="006F6476"/>
    <w:rsid w:val="00716D42"/>
    <w:rsid w:val="00736F5C"/>
    <w:rsid w:val="00737D32"/>
    <w:rsid w:val="007526E6"/>
    <w:rsid w:val="007B5E4E"/>
    <w:rsid w:val="007C4282"/>
    <w:rsid w:val="007F2BCF"/>
    <w:rsid w:val="00831456"/>
    <w:rsid w:val="008469A0"/>
    <w:rsid w:val="008557A9"/>
    <w:rsid w:val="00877B1A"/>
    <w:rsid w:val="008B6D0E"/>
    <w:rsid w:val="008F3BA2"/>
    <w:rsid w:val="008F5835"/>
    <w:rsid w:val="00902E31"/>
    <w:rsid w:val="009102BB"/>
    <w:rsid w:val="0094067E"/>
    <w:rsid w:val="00941706"/>
    <w:rsid w:val="00950296"/>
    <w:rsid w:val="0096425C"/>
    <w:rsid w:val="00970248"/>
    <w:rsid w:val="00983ECE"/>
    <w:rsid w:val="00985013"/>
    <w:rsid w:val="009E2E37"/>
    <w:rsid w:val="00A038CC"/>
    <w:rsid w:val="00A10684"/>
    <w:rsid w:val="00A14345"/>
    <w:rsid w:val="00A17C20"/>
    <w:rsid w:val="00A33DAF"/>
    <w:rsid w:val="00A7341D"/>
    <w:rsid w:val="00A82536"/>
    <w:rsid w:val="00A828C6"/>
    <w:rsid w:val="00A852E0"/>
    <w:rsid w:val="00A8643A"/>
    <w:rsid w:val="00AA7A2B"/>
    <w:rsid w:val="00AB3A91"/>
    <w:rsid w:val="00B177C0"/>
    <w:rsid w:val="00B23E4D"/>
    <w:rsid w:val="00B3693C"/>
    <w:rsid w:val="00B47B53"/>
    <w:rsid w:val="00B66E47"/>
    <w:rsid w:val="00B97858"/>
    <w:rsid w:val="00BA64C9"/>
    <w:rsid w:val="00BB0ADE"/>
    <w:rsid w:val="00BD0C43"/>
    <w:rsid w:val="00BD7DE6"/>
    <w:rsid w:val="00BF3080"/>
    <w:rsid w:val="00BF7FA5"/>
    <w:rsid w:val="00C12C15"/>
    <w:rsid w:val="00C17963"/>
    <w:rsid w:val="00C2496A"/>
    <w:rsid w:val="00C4314E"/>
    <w:rsid w:val="00C567E7"/>
    <w:rsid w:val="00C703A8"/>
    <w:rsid w:val="00C7683E"/>
    <w:rsid w:val="00C76ED3"/>
    <w:rsid w:val="00C81E2B"/>
    <w:rsid w:val="00C96A95"/>
    <w:rsid w:val="00CA300F"/>
    <w:rsid w:val="00CB7094"/>
    <w:rsid w:val="00CF160E"/>
    <w:rsid w:val="00CF168D"/>
    <w:rsid w:val="00D04F3A"/>
    <w:rsid w:val="00D4703B"/>
    <w:rsid w:val="00D47D42"/>
    <w:rsid w:val="00D60255"/>
    <w:rsid w:val="00D77B3E"/>
    <w:rsid w:val="00D84837"/>
    <w:rsid w:val="00DA421E"/>
    <w:rsid w:val="00DC00AB"/>
    <w:rsid w:val="00DE4F20"/>
    <w:rsid w:val="00E21132"/>
    <w:rsid w:val="00E271EC"/>
    <w:rsid w:val="00E4081B"/>
    <w:rsid w:val="00E51C38"/>
    <w:rsid w:val="00E6684D"/>
    <w:rsid w:val="00E8771E"/>
    <w:rsid w:val="00E9102C"/>
    <w:rsid w:val="00EA74A3"/>
    <w:rsid w:val="00ED4BA9"/>
    <w:rsid w:val="00F01ECF"/>
    <w:rsid w:val="00F4152D"/>
    <w:rsid w:val="00F4444C"/>
    <w:rsid w:val="00F44ED2"/>
    <w:rsid w:val="00FA034E"/>
    <w:rsid w:val="00FA3FED"/>
    <w:rsid w:val="00FB48C8"/>
    <w:rsid w:val="00FC7CC0"/>
    <w:rsid w:val="00FD452F"/>
    <w:rsid w:val="00FE4F0E"/>
    <w:rsid w:val="00FE65B0"/>
    <w:rsid w:val="00FE6A89"/>
    <w:rsid w:val="03C938ED"/>
    <w:rsid w:val="059E6349"/>
    <w:rsid w:val="07771374"/>
    <w:rsid w:val="0AE87000"/>
    <w:rsid w:val="0F10262D"/>
    <w:rsid w:val="0F2A3933"/>
    <w:rsid w:val="11AF1E33"/>
    <w:rsid w:val="163628D1"/>
    <w:rsid w:val="253D2903"/>
    <w:rsid w:val="2EC432D5"/>
    <w:rsid w:val="329E3409"/>
    <w:rsid w:val="33FB4746"/>
    <w:rsid w:val="34052A0F"/>
    <w:rsid w:val="3DC35E6C"/>
    <w:rsid w:val="499E4E52"/>
    <w:rsid w:val="57C41E87"/>
    <w:rsid w:val="5A1B3455"/>
    <w:rsid w:val="5B155D63"/>
    <w:rsid w:val="5C89081C"/>
    <w:rsid w:val="605C24E8"/>
    <w:rsid w:val="63286890"/>
    <w:rsid w:val="6E245DA7"/>
    <w:rsid w:val="74CD703F"/>
    <w:rsid w:val="75B7403D"/>
    <w:rsid w:val="76244216"/>
    <w:rsid w:val="765C4E90"/>
    <w:rsid w:val="76E65101"/>
    <w:rsid w:val="77C73CD2"/>
    <w:rsid w:val="7B63505D"/>
    <w:rsid w:val="7B7B6FCF"/>
    <w:rsid w:val="7C571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 w:eastAsia="宋体"/>
      <w:sz w:val="21"/>
      <w:szCs w:val="20"/>
    </w:rPr>
  </w:style>
  <w:style w:type="paragraph" w:styleId="3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Strong"/>
    <w:qFormat/>
    <w:uiPriority w:val="0"/>
    <w:rPr>
      <w:rFonts w:ascii="Times New Roman" w:hAnsi="Times New Roman" w:eastAsia="宋体" w:cs="Times New Roman"/>
      <w:b/>
      <w:bCs/>
    </w:rPr>
  </w:style>
  <w:style w:type="character" w:customStyle="1" w:styleId="9">
    <w:name w:val="bjh-strong"/>
    <w:basedOn w:val="7"/>
    <w:qFormat/>
    <w:uiPriority w:val="0"/>
  </w:style>
  <w:style w:type="paragraph" w:styleId="10">
    <w:name w:val="List Paragraph"/>
    <w:basedOn w:val="1"/>
    <w:qFormat/>
    <w:uiPriority w:val="34"/>
    <w:pPr>
      <w:ind w:firstLine="420" w:firstLineChars="200"/>
    </w:pPr>
  </w:style>
  <w:style w:type="character" w:customStyle="1" w:styleId="11">
    <w:name w:val="页眉 Char"/>
    <w:basedOn w:val="7"/>
    <w:link w:val="5"/>
    <w:qFormat/>
    <w:uiPriority w:val="99"/>
    <w:rPr>
      <w:sz w:val="18"/>
      <w:szCs w:val="18"/>
    </w:rPr>
  </w:style>
  <w:style w:type="character" w:customStyle="1" w:styleId="12">
    <w:name w:val="页脚 Char"/>
    <w:basedOn w:val="7"/>
    <w:link w:val="4"/>
    <w:qFormat/>
    <w:uiPriority w:val="99"/>
    <w:rPr>
      <w:sz w:val="18"/>
      <w:szCs w:val="18"/>
    </w:rPr>
  </w:style>
  <w:style w:type="character" w:customStyle="1" w:styleId="13">
    <w:name w:val="批注框文本 Char"/>
    <w:basedOn w:val="7"/>
    <w:link w:val="3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100</Words>
  <Characters>573</Characters>
  <Lines>4</Lines>
  <Paragraphs>1</Paragraphs>
  <TotalTime>3</TotalTime>
  <ScaleCrop>false</ScaleCrop>
  <LinksUpToDate>false</LinksUpToDate>
  <CharactersWithSpaces>672</CharactersWithSpaces>
  <Application>WPS Office_11.8.2.8276_F1E327BC-269C-435d-A152-05C5408002CA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2020-03-09T02:09:00Z</dcterms:created>
  <dc:creator>Windows 用户</dc:creator>
  <cp:lastModifiedBy>啊呀</cp:lastModifiedBy>
  <cp:lastPrinted>2020-05-21T08:45:00Z</cp:lastPrinted>
  <dcterms:modified xsi:type="dcterms:W3CDTF">2024-09-08T00:02:24Z</dcterms:modified>
  <cp:revision>106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2052-11.8.2.8276</vt:lpwstr>
  </property>
</Properties>
</file>